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B1C" w:rsidRDefault="000B2678">
      <w:pPr>
        <w:shd w:val="clear" w:color="auto" w:fill="FFFFFF"/>
        <w:spacing w:line="240" w:lineRule="auto"/>
        <w:ind w:left="1440" w:hanging="1440"/>
        <w:rPr>
          <w:rFonts w:ascii="Times New Roman" w:eastAsia="Times New Roman" w:hAnsi="Times New Roman" w:cs="Times New Roman"/>
          <w:sz w:val="24"/>
          <w:szCs w:val="24"/>
        </w:rPr>
      </w:pPr>
      <w:r>
        <w:rPr>
          <w:b/>
          <w:color w:val="444444"/>
          <w:sz w:val="20"/>
          <w:szCs w:val="20"/>
          <w:highlight w:val="white"/>
          <w:u w:val="single"/>
        </w:rPr>
        <w:t>Title:</w:t>
      </w:r>
      <w:r>
        <w:rPr>
          <w:b/>
          <w:color w:val="444444"/>
          <w:sz w:val="20"/>
          <w:szCs w:val="20"/>
          <w:highlight w:val="white"/>
        </w:rPr>
        <w:t xml:space="preserve"> </w:t>
      </w:r>
      <w:r>
        <w:rPr>
          <w:b/>
          <w:color w:val="444444"/>
          <w:sz w:val="20"/>
          <w:szCs w:val="20"/>
          <w:highlight w:val="white"/>
        </w:rPr>
        <w:tab/>
      </w:r>
      <w:r>
        <w:rPr>
          <w:color w:val="444444"/>
          <w:sz w:val="20"/>
          <w:szCs w:val="20"/>
          <w:highlight w:val="white"/>
        </w:rPr>
        <w:t>“Lowest effective dose of Buprenorphine in stable office based opioid maintenance treatment”</w:t>
      </w:r>
    </w:p>
    <w:p w:rsidR="005D6B1C" w:rsidRDefault="005D6B1C">
      <w:pPr>
        <w:shd w:val="clear" w:color="auto" w:fill="FFFFFF"/>
        <w:spacing w:line="240" w:lineRule="auto"/>
        <w:rPr>
          <w:b/>
          <w:color w:val="444444"/>
          <w:sz w:val="20"/>
          <w:szCs w:val="20"/>
          <w:highlight w:val="white"/>
        </w:rPr>
      </w:pPr>
      <w:bookmarkStart w:id="0" w:name="_gjdgxs" w:colFirst="0" w:colLast="0"/>
      <w:bookmarkEnd w:id="0"/>
    </w:p>
    <w:p w:rsidR="005D6B1C" w:rsidRDefault="000B2678">
      <w:pPr>
        <w:shd w:val="clear" w:color="auto" w:fill="FFFFFF"/>
        <w:spacing w:line="240" w:lineRule="auto"/>
        <w:ind w:left="1440" w:hanging="1440"/>
        <w:rPr>
          <w:rFonts w:ascii="Times New Roman" w:eastAsia="Times New Roman" w:hAnsi="Times New Roman" w:cs="Times New Roman"/>
          <w:sz w:val="24"/>
          <w:szCs w:val="24"/>
        </w:rPr>
      </w:pPr>
      <w:r>
        <w:rPr>
          <w:b/>
          <w:color w:val="444444"/>
          <w:sz w:val="20"/>
          <w:szCs w:val="20"/>
          <w:highlight w:val="white"/>
          <w:u w:val="single"/>
        </w:rPr>
        <w:t>Authors:</w:t>
      </w:r>
      <w:r>
        <w:rPr>
          <w:b/>
          <w:color w:val="444444"/>
          <w:sz w:val="20"/>
          <w:szCs w:val="20"/>
          <w:highlight w:val="white"/>
        </w:rPr>
        <w:t xml:space="preserve"> </w:t>
      </w:r>
      <w:r>
        <w:rPr>
          <w:b/>
          <w:color w:val="444444"/>
          <w:sz w:val="20"/>
          <w:szCs w:val="20"/>
          <w:highlight w:val="white"/>
        </w:rPr>
        <w:tab/>
      </w:r>
      <w:r>
        <w:rPr>
          <w:color w:val="444444"/>
          <w:sz w:val="20"/>
          <w:szCs w:val="20"/>
          <w:highlight w:val="white"/>
        </w:rPr>
        <w:t xml:space="preserve">Theodore V </w:t>
      </w:r>
      <w:proofErr w:type="spellStart"/>
      <w:r>
        <w:rPr>
          <w:color w:val="444444"/>
          <w:sz w:val="20"/>
          <w:szCs w:val="20"/>
          <w:highlight w:val="white"/>
        </w:rPr>
        <w:t>Parran</w:t>
      </w:r>
      <w:proofErr w:type="spellEnd"/>
      <w:r>
        <w:rPr>
          <w:color w:val="444444"/>
          <w:sz w:val="20"/>
          <w:szCs w:val="20"/>
          <w:highlight w:val="white"/>
        </w:rPr>
        <w:t xml:space="preserve"> MD, Chris Adelman MD, </w:t>
      </w:r>
      <w:proofErr w:type="spellStart"/>
      <w:r>
        <w:rPr>
          <w:color w:val="444444"/>
          <w:sz w:val="20"/>
          <w:szCs w:val="20"/>
          <w:highlight w:val="white"/>
        </w:rPr>
        <w:t>Hishita</w:t>
      </w:r>
      <w:proofErr w:type="spellEnd"/>
      <w:r>
        <w:rPr>
          <w:color w:val="444444"/>
          <w:sz w:val="20"/>
          <w:szCs w:val="20"/>
          <w:highlight w:val="white"/>
        </w:rPr>
        <w:t xml:space="preserve"> Parikh MD, William Goldman DO, </w:t>
      </w:r>
      <w:r w:rsidRPr="000B2678">
        <w:rPr>
          <w:b/>
          <w:color w:val="444444"/>
          <w:sz w:val="20"/>
          <w:szCs w:val="20"/>
          <w:highlight w:val="white"/>
        </w:rPr>
        <w:t xml:space="preserve">Gaurav N </w:t>
      </w:r>
      <w:proofErr w:type="spellStart"/>
      <w:r w:rsidRPr="000B2678">
        <w:rPr>
          <w:b/>
          <w:color w:val="444444"/>
          <w:sz w:val="20"/>
          <w:szCs w:val="20"/>
          <w:highlight w:val="white"/>
        </w:rPr>
        <w:t>Mathur</w:t>
      </w:r>
      <w:proofErr w:type="spellEnd"/>
      <w:r w:rsidRPr="000B2678">
        <w:rPr>
          <w:b/>
          <w:color w:val="444444"/>
          <w:sz w:val="20"/>
          <w:szCs w:val="20"/>
          <w:highlight w:val="white"/>
        </w:rPr>
        <w:t xml:space="preserve"> MD</w:t>
      </w:r>
    </w:p>
    <w:p w:rsidR="005D6B1C" w:rsidRDefault="005D6B1C">
      <w:pPr>
        <w:shd w:val="clear" w:color="auto" w:fill="FFFFFF"/>
        <w:spacing w:line="240" w:lineRule="auto"/>
        <w:rPr>
          <w:b/>
          <w:sz w:val="20"/>
          <w:szCs w:val="20"/>
          <w:u w:val="single"/>
        </w:rPr>
      </w:pPr>
      <w:bookmarkStart w:id="1" w:name="_GoBack"/>
      <w:bookmarkEnd w:id="1"/>
    </w:p>
    <w:p w:rsidR="005D6B1C" w:rsidRDefault="000B2678">
      <w:pPr>
        <w:shd w:val="clear" w:color="auto" w:fill="FFFFFF"/>
        <w:spacing w:line="240" w:lineRule="auto"/>
        <w:rPr>
          <w:b/>
          <w:sz w:val="20"/>
          <w:szCs w:val="20"/>
          <w:u w:val="single"/>
        </w:rPr>
      </w:pPr>
      <w:r>
        <w:rPr>
          <w:b/>
          <w:sz w:val="20"/>
          <w:szCs w:val="20"/>
          <w:u w:val="single"/>
        </w:rPr>
        <w:t>Background:</w:t>
      </w:r>
    </w:p>
    <w:p w:rsidR="005D6B1C" w:rsidRDefault="000B2678">
      <w:pPr>
        <w:shd w:val="clear" w:color="auto" w:fill="FFFFFF"/>
        <w:spacing w:line="240" w:lineRule="auto"/>
        <w:rPr>
          <w:sz w:val="20"/>
          <w:szCs w:val="20"/>
        </w:rPr>
      </w:pPr>
      <w:r>
        <w:rPr>
          <w:sz w:val="20"/>
          <w:szCs w:val="20"/>
        </w:rPr>
        <w:t xml:space="preserve">Research and extensive clinical experience since its release in 2002 have established that </w:t>
      </w:r>
      <w:proofErr w:type="spellStart"/>
      <w:r>
        <w:rPr>
          <w:sz w:val="20"/>
          <w:szCs w:val="20"/>
        </w:rPr>
        <w:t>bup</w:t>
      </w:r>
      <w:proofErr w:type="spellEnd"/>
      <w:r>
        <w:rPr>
          <w:sz w:val="20"/>
          <w:szCs w:val="20"/>
        </w:rPr>
        <w:t xml:space="preserve">/NX is a safe and effective treatment for moderate and severe opioid use disorder as part of medication assisted treatment. </w:t>
      </w:r>
      <w:proofErr w:type="spellStart"/>
      <w:r>
        <w:rPr>
          <w:sz w:val="20"/>
          <w:szCs w:val="20"/>
        </w:rPr>
        <w:t>Bup</w:t>
      </w:r>
      <w:proofErr w:type="spellEnd"/>
      <w:r>
        <w:rPr>
          <w:sz w:val="20"/>
          <w:szCs w:val="20"/>
        </w:rPr>
        <w:t>/NX treatment decreases opioid use,</w:t>
      </w:r>
      <w:r>
        <w:rPr>
          <w:sz w:val="20"/>
          <w:szCs w:val="20"/>
        </w:rPr>
        <w:t xml:space="preserve"> improves treatment adherence and increases sobriety rates. Much less has been reported regarding the safety and efficacy of changing </w:t>
      </w:r>
      <w:proofErr w:type="spellStart"/>
      <w:r>
        <w:rPr>
          <w:sz w:val="20"/>
          <w:szCs w:val="20"/>
        </w:rPr>
        <w:t>bup</w:t>
      </w:r>
      <w:proofErr w:type="spellEnd"/>
      <w:r>
        <w:rPr>
          <w:sz w:val="20"/>
          <w:szCs w:val="20"/>
        </w:rPr>
        <w:t>/NX doses in stable patients during long-term opioid maintenance therapy. Very little information is available as to wh</w:t>
      </w:r>
      <w:r>
        <w:rPr>
          <w:sz w:val="20"/>
          <w:szCs w:val="20"/>
        </w:rPr>
        <w:t xml:space="preserve">ether or not patients need the same </w:t>
      </w:r>
      <w:proofErr w:type="spellStart"/>
      <w:r>
        <w:rPr>
          <w:sz w:val="20"/>
          <w:szCs w:val="20"/>
        </w:rPr>
        <w:t>bup</w:t>
      </w:r>
      <w:proofErr w:type="spellEnd"/>
      <w:r>
        <w:rPr>
          <w:sz w:val="20"/>
          <w:szCs w:val="20"/>
        </w:rPr>
        <w:t>/NX dose in long-term stable maintenance that was necessary to initially stabilize them from active addiction.</w:t>
      </w:r>
    </w:p>
    <w:p w:rsidR="005D6B1C" w:rsidRDefault="005D6B1C">
      <w:pPr>
        <w:shd w:val="clear" w:color="auto" w:fill="FFFFFF"/>
        <w:spacing w:line="240" w:lineRule="auto"/>
        <w:rPr>
          <w:sz w:val="20"/>
          <w:szCs w:val="20"/>
        </w:rPr>
      </w:pPr>
    </w:p>
    <w:p w:rsidR="005D6B1C" w:rsidRDefault="000B2678">
      <w:pPr>
        <w:shd w:val="clear" w:color="auto" w:fill="FFFFFF"/>
        <w:spacing w:line="240" w:lineRule="auto"/>
        <w:rPr>
          <w:sz w:val="20"/>
          <w:szCs w:val="20"/>
        </w:rPr>
      </w:pPr>
      <w:proofErr w:type="spellStart"/>
      <w:r>
        <w:rPr>
          <w:sz w:val="20"/>
          <w:szCs w:val="20"/>
        </w:rPr>
        <w:t>Bup</w:t>
      </w:r>
      <w:proofErr w:type="spellEnd"/>
      <w:r>
        <w:rPr>
          <w:sz w:val="20"/>
          <w:szCs w:val="20"/>
        </w:rPr>
        <w:t>/NX doses appear to rarely be changed over time, and even strategies to introduce the topic of dose ch</w:t>
      </w:r>
      <w:r>
        <w:rPr>
          <w:sz w:val="20"/>
          <w:szCs w:val="20"/>
        </w:rPr>
        <w:t>ange have not been reported in the literature. This is contrary to many other areas of chronic illness management, where in very stable patients concepts of “lowest effective dose” or “gradual dose adjustment to ensure stability and limit side effects” are</w:t>
      </w:r>
      <w:r>
        <w:rPr>
          <w:sz w:val="20"/>
          <w:szCs w:val="20"/>
        </w:rPr>
        <w:t xml:space="preserve"> commonly encountered. </w:t>
      </w:r>
      <w:proofErr w:type="spellStart"/>
      <w:r>
        <w:rPr>
          <w:sz w:val="20"/>
          <w:szCs w:val="20"/>
        </w:rPr>
        <w:t>Bup</w:t>
      </w:r>
      <w:proofErr w:type="spellEnd"/>
      <w:r>
        <w:rPr>
          <w:sz w:val="20"/>
          <w:szCs w:val="20"/>
        </w:rPr>
        <w:t>/NX tapering could be done for a number of good clinical reasons: 1) evaluate a long term stable dose to see if it is the most appropriate dose for the patient at this point in time (i.e. sustained full remission), 2) to limit sid</w:t>
      </w:r>
      <w:r>
        <w:rPr>
          <w:sz w:val="20"/>
          <w:szCs w:val="20"/>
        </w:rPr>
        <w:t xml:space="preserve">e effects of </w:t>
      </w:r>
      <w:proofErr w:type="spellStart"/>
      <w:r>
        <w:rPr>
          <w:sz w:val="20"/>
          <w:szCs w:val="20"/>
        </w:rPr>
        <w:t>bup</w:t>
      </w:r>
      <w:proofErr w:type="spellEnd"/>
      <w:r>
        <w:rPr>
          <w:sz w:val="20"/>
          <w:szCs w:val="20"/>
        </w:rPr>
        <w:t xml:space="preserve">/NX resulting from higher initial induction doses, 3) to keep the over-all pharmacy costs of MAT to the lowest reasonable level, or 4) to maintain the patient on as low a level of physical dependence as is safe </w:t>
      </w:r>
      <w:proofErr w:type="gramStart"/>
      <w:r>
        <w:rPr>
          <w:sz w:val="20"/>
          <w:szCs w:val="20"/>
        </w:rPr>
        <w:t>in</w:t>
      </w:r>
      <w:proofErr w:type="gramEnd"/>
      <w:r>
        <w:rPr>
          <w:sz w:val="20"/>
          <w:szCs w:val="20"/>
        </w:rPr>
        <w:t xml:space="preserve"> order to facilitate final </w:t>
      </w:r>
      <w:r>
        <w:rPr>
          <w:sz w:val="20"/>
          <w:szCs w:val="20"/>
        </w:rPr>
        <w:t xml:space="preserve">tapering if or when the patient decides to stop </w:t>
      </w:r>
      <w:proofErr w:type="spellStart"/>
      <w:r>
        <w:rPr>
          <w:sz w:val="20"/>
          <w:szCs w:val="20"/>
        </w:rPr>
        <w:t>bup</w:t>
      </w:r>
      <w:proofErr w:type="spellEnd"/>
      <w:r>
        <w:rPr>
          <w:sz w:val="20"/>
          <w:szCs w:val="20"/>
        </w:rPr>
        <w:t xml:space="preserve">/NX entirely. Despite all of these potential clinical indications to discuss the gradual tapering of </w:t>
      </w:r>
      <w:proofErr w:type="spellStart"/>
      <w:r>
        <w:rPr>
          <w:sz w:val="20"/>
          <w:szCs w:val="20"/>
        </w:rPr>
        <w:t>bup</w:t>
      </w:r>
      <w:proofErr w:type="spellEnd"/>
      <w:r>
        <w:rPr>
          <w:sz w:val="20"/>
          <w:szCs w:val="20"/>
        </w:rPr>
        <w:t>/NX dose during long term MAT, there is little research or even case reports indicating whether or no</w:t>
      </w:r>
      <w:r>
        <w:rPr>
          <w:sz w:val="20"/>
          <w:szCs w:val="20"/>
        </w:rPr>
        <w:t xml:space="preserve">t such discussions take place or the safety and efficacy of such tapers. </w:t>
      </w:r>
    </w:p>
    <w:p w:rsidR="005D6B1C" w:rsidRDefault="005D6B1C">
      <w:pPr>
        <w:shd w:val="clear" w:color="auto" w:fill="FFFFFF"/>
        <w:spacing w:line="240" w:lineRule="auto"/>
        <w:rPr>
          <w:sz w:val="20"/>
          <w:szCs w:val="20"/>
        </w:rPr>
      </w:pPr>
    </w:p>
    <w:p w:rsidR="005D6B1C" w:rsidRDefault="000B2678">
      <w:pPr>
        <w:shd w:val="clear" w:color="auto" w:fill="FFFFFF"/>
        <w:spacing w:line="240" w:lineRule="auto"/>
        <w:rPr>
          <w:sz w:val="20"/>
          <w:szCs w:val="20"/>
        </w:rPr>
      </w:pPr>
      <w:r>
        <w:rPr>
          <w:sz w:val="20"/>
          <w:szCs w:val="20"/>
        </w:rPr>
        <w:t xml:space="preserve">In this report we present data from a MAT clinic initiative to introduce the idea of ultra-gradual </w:t>
      </w:r>
      <w:proofErr w:type="spellStart"/>
      <w:r>
        <w:rPr>
          <w:sz w:val="20"/>
          <w:szCs w:val="20"/>
        </w:rPr>
        <w:t>bup</w:t>
      </w:r>
      <w:proofErr w:type="spellEnd"/>
      <w:r>
        <w:rPr>
          <w:sz w:val="20"/>
          <w:szCs w:val="20"/>
        </w:rPr>
        <w:t>/NX dose taper to patients in sustained full remission from opioid use disorder</w:t>
      </w:r>
      <w:r>
        <w:rPr>
          <w:sz w:val="20"/>
          <w:szCs w:val="20"/>
        </w:rPr>
        <w:t xml:space="preserve"> and fully adherent with a comprehensive sobriety support program. Data includes clinical characteristics of those patients who agreed to taper, how an ultra-slow taper was tolerated including the emergence of withdrawal / craving / relapse data during a t</w:t>
      </w:r>
      <w:r>
        <w:rPr>
          <w:sz w:val="20"/>
          <w:szCs w:val="20"/>
        </w:rPr>
        <w:t xml:space="preserve">aper, and whether an initial dose taper was likely to result in the patient deciding to taper off of </w:t>
      </w:r>
      <w:proofErr w:type="spellStart"/>
      <w:r>
        <w:rPr>
          <w:sz w:val="20"/>
          <w:szCs w:val="20"/>
        </w:rPr>
        <w:t>bup</w:t>
      </w:r>
      <w:proofErr w:type="spellEnd"/>
      <w:r>
        <w:rPr>
          <w:sz w:val="20"/>
          <w:szCs w:val="20"/>
        </w:rPr>
        <w:t>/</w:t>
      </w:r>
      <w:proofErr w:type="spellStart"/>
      <w:r>
        <w:rPr>
          <w:sz w:val="20"/>
          <w:szCs w:val="20"/>
        </w:rPr>
        <w:t>nx</w:t>
      </w:r>
      <w:proofErr w:type="spellEnd"/>
      <w:r>
        <w:rPr>
          <w:sz w:val="20"/>
          <w:szCs w:val="20"/>
        </w:rPr>
        <w:t xml:space="preserve"> completely. In addition data about patient satisfaction with their MAT program in those who chose to taper and those who did not are presented.</w:t>
      </w:r>
    </w:p>
    <w:p w:rsidR="005D6B1C" w:rsidRDefault="005D6B1C">
      <w:pPr>
        <w:spacing w:line="240" w:lineRule="auto"/>
        <w:rPr>
          <w:b/>
          <w:color w:val="222222"/>
          <w:sz w:val="20"/>
          <w:szCs w:val="20"/>
          <w:highlight w:val="white"/>
        </w:rPr>
      </w:pPr>
    </w:p>
    <w:p w:rsidR="005D6B1C" w:rsidRDefault="000B2678">
      <w:pPr>
        <w:spacing w:line="240" w:lineRule="auto"/>
        <w:rPr>
          <w:b/>
          <w:color w:val="222222"/>
          <w:sz w:val="20"/>
          <w:szCs w:val="20"/>
          <w:highlight w:val="white"/>
          <w:u w:val="single"/>
        </w:rPr>
      </w:pPr>
      <w:r>
        <w:rPr>
          <w:b/>
          <w:color w:val="222222"/>
          <w:sz w:val="20"/>
          <w:szCs w:val="20"/>
          <w:highlight w:val="white"/>
          <w:u w:val="single"/>
        </w:rPr>
        <w:t>Met</w:t>
      </w:r>
      <w:r>
        <w:rPr>
          <w:b/>
          <w:color w:val="222222"/>
          <w:sz w:val="20"/>
          <w:szCs w:val="20"/>
          <w:highlight w:val="white"/>
          <w:u w:val="single"/>
        </w:rPr>
        <w:t>hods:</w:t>
      </w:r>
    </w:p>
    <w:p w:rsidR="005D6B1C" w:rsidRDefault="000B2678">
      <w:pPr>
        <w:spacing w:line="240" w:lineRule="auto"/>
        <w:rPr>
          <w:sz w:val="20"/>
          <w:szCs w:val="20"/>
          <w:highlight w:val="white"/>
        </w:rPr>
      </w:pPr>
      <w:r>
        <w:rPr>
          <w:color w:val="222222"/>
          <w:sz w:val="20"/>
          <w:szCs w:val="20"/>
          <w:highlight w:val="white"/>
        </w:rPr>
        <w:t xml:space="preserve">The study is a retrospective case series chart review of patients stable on long-term outpatient MAT and fully adherent with a comprehensive sobriety support program who were </w:t>
      </w:r>
      <w:r>
        <w:rPr>
          <w:sz w:val="20"/>
          <w:szCs w:val="20"/>
          <w:highlight w:val="white"/>
        </w:rPr>
        <w:t xml:space="preserve">receiving </w:t>
      </w:r>
      <w:proofErr w:type="spellStart"/>
      <w:r>
        <w:rPr>
          <w:sz w:val="20"/>
          <w:szCs w:val="20"/>
          <w:highlight w:val="white"/>
        </w:rPr>
        <w:t>bup</w:t>
      </w:r>
      <w:proofErr w:type="spellEnd"/>
      <w:r>
        <w:rPr>
          <w:sz w:val="20"/>
          <w:szCs w:val="20"/>
          <w:highlight w:val="white"/>
        </w:rPr>
        <w:t>/NX between the years of 2003 through 2017. All patients met c</w:t>
      </w:r>
      <w:r>
        <w:rPr>
          <w:sz w:val="20"/>
          <w:szCs w:val="20"/>
          <w:highlight w:val="white"/>
        </w:rPr>
        <w:t xml:space="preserve">riteria to be considered in sustained full remission from their opioid use disorder. We collected the following demographic data: patient age, sex, race, insurance status, employment, urine toxicology history, </w:t>
      </w:r>
      <w:proofErr w:type="spellStart"/>
      <w:r>
        <w:rPr>
          <w:sz w:val="20"/>
          <w:szCs w:val="20"/>
          <w:highlight w:val="white"/>
        </w:rPr>
        <w:t>bup</w:t>
      </w:r>
      <w:proofErr w:type="spellEnd"/>
      <w:r>
        <w:rPr>
          <w:sz w:val="20"/>
          <w:szCs w:val="20"/>
          <w:highlight w:val="white"/>
        </w:rPr>
        <w:t>/NX dosage history, outpatient program adhe</w:t>
      </w:r>
      <w:r>
        <w:rPr>
          <w:sz w:val="20"/>
          <w:szCs w:val="20"/>
          <w:highlight w:val="white"/>
        </w:rPr>
        <w:t xml:space="preserve">rence, and withdrawal symptoms if tapered. In addition, a validated </w:t>
      </w:r>
      <w:r>
        <w:rPr>
          <w:sz w:val="20"/>
          <w:szCs w:val="20"/>
        </w:rPr>
        <w:t xml:space="preserve">Satisfaction with Life Scale </w:t>
      </w:r>
      <w:r>
        <w:rPr>
          <w:sz w:val="20"/>
          <w:szCs w:val="20"/>
          <w:highlight w:val="white"/>
        </w:rPr>
        <w:t>wellbeing survey was also given to all patients to assess self-wellbeing.  Patients were asked to assess their wellbeing satisfaction scores prior to their sta</w:t>
      </w:r>
      <w:r>
        <w:rPr>
          <w:sz w:val="20"/>
          <w:szCs w:val="20"/>
          <w:highlight w:val="white"/>
        </w:rPr>
        <w:t xml:space="preserve">rt of </w:t>
      </w:r>
      <w:proofErr w:type="spellStart"/>
      <w:r>
        <w:rPr>
          <w:sz w:val="20"/>
          <w:szCs w:val="20"/>
          <w:highlight w:val="white"/>
        </w:rPr>
        <w:t>bup</w:t>
      </w:r>
      <w:proofErr w:type="spellEnd"/>
      <w:r>
        <w:rPr>
          <w:sz w:val="20"/>
          <w:szCs w:val="20"/>
          <w:highlight w:val="white"/>
        </w:rPr>
        <w:t xml:space="preserve">/NX treatment, and also after receiving </w:t>
      </w:r>
      <w:proofErr w:type="spellStart"/>
      <w:r>
        <w:rPr>
          <w:sz w:val="20"/>
          <w:szCs w:val="20"/>
          <w:highlight w:val="white"/>
        </w:rPr>
        <w:t>bup</w:t>
      </w:r>
      <w:proofErr w:type="spellEnd"/>
      <w:r>
        <w:rPr>
          <w:sz w:val="20"/>
          <w:szCs w:val="20"/>
          <w:highlight w:val="white"/>
        </w:rPr>
        <w:t xml:space="preserve">/NX MAT. </w:t>
      </w:r>
    </w:p>
    <w:p w:rsidR="005D6B1C" w:rsidRDefault="000B2678">
      <w:pPr>
        <w:spacing w:line="240" w:lineRule="auto"/>
        <w:rPr>
          <w:sz w:val="20"/>
          <w:szCs w:val="20"/>
          <w:highlight w:val="white"/>
        </w:rPr>
      </w:pPr>
      <w:r>
        <w:rPr>
          <w:sz w:val="20"/>
          <w:szCs w:val="20"/>
          <w:highlight w:val="white"/>
        </w:rPr>
        <w:t xml:space="preserve">The taper option was presented to patients in sustained full remission from opioid use disorder on long-term </w:t>
      </w:r>
      <w:proofErr w:type="spellStart"/>
      <w:r>
        <w:rPr>
          <w:sz w:val="20"/>
          <w:szCs w:val="20"/>
          <w:highlight w:val="white"/>
        </w:rPr>
        <w:t>bup</w:t>
      </w:r>
      <w:proofErr w:type="spellEnd"/>
      <w:r>
        <w:rPr>
          <w:sz w:val="20"/>
          <w:szCs w:val="20"/>
          <w:highlight w:val="white"/>
        </w:rPr>
        <w:t>/NX MAT through the question: “now that you have done so well for so long in sobri</w:t>
      </w:r>
      <w:r>
        <w:rPr>
          <w:sz w:val="20"/>
          <w:szCs w:val="20"/>
          <w:highlight w:val="white"/>
        </w:rPr>
        <w:t>ety … how long would you like to be on this medication, and what is your interest in a very slow partial taper of your dose?” The ultra-slow taper involved decreases of 1-2 mg every 3-4 months, and all dose decreases were initiated with the patient’s agree</w:t>
      </w:r>
      <w:r>
        <w:rPr>
          <w:sz w:val="20"/>
          <w:szCs w:val="20"/>
          <w:highlight w:val="white"/>
        </w:rPr>
        <w:t xml:space="preserve">ment. If at any time the patient chose not to taper, or to reverse a previous dose decrease this was done immediately.  </w:t>
      </w:r>
    </w:p>
    <w:p w:rsidR="005D6B1C" w:rsidRDefault="000B2678">
      <w:pPr>
        <w:spacing w:line="240" w:lineRule="auto"/>
        <w:rPr>
          <w:b/>
          <w:sz w:val="20"/>
          <w:szCs w:val="20"/>
          <w:highlight w:val="white"/>
          <w:u w:val="single"/>
        </w:rPr>
      </w:pPr>
      <w:r>
        <w:rPr>
          <w:sz w:val="20"/>
          <w:szCs w:val="20"/>
          <w:highlight w:val="white"/>
        </w:rPr>
        <w:br/>
      </w:r>
      <w:r>
        <w:rPr>
          <w:sz w:val="20"/>
          <w:szCs w:val="20"/>
          <w:highlight w:val="white"/>
        </w:rPr>
        <w:br/>
      </w:r>
      <w:r>
        <w:rPr>
          <w:b/>
          <w:sz w:val="20"/>
          <w:szCs w:val="20"/>
          <w:highlight w:val="white"/>
          <w:u w:val="single"/>
        </w:rPr>
        <w:t>Results:</w:t>
      </w:r>
    </w:p>
    <w:p w:rsidR="005D6B1C" w:rsidRDefault="000B2678">
      <w:pPr>
        <w:spacing w:line="240" w:lineRule="auto"/>
        <w:rPr>
          <w:sz w:val="20"/>
          <w:szCs w:val="20"/>
          <w:highlight w:val="white"/>
        </w:rPr>
      </w:pPr>
      <w:r>
        <w:rPr>
          <w:sz w:val="20"/>
          <w:szCs w:val="20"/>
          <w:highlight w:val="white"/>
        </w:rPr>
        <w:t xml:space="preserve">45 of 101 patients expressed interest in attempting a slow dose taper while 56 declined to taper and remained on their original dose. Of the 45 taper attempting patients, their average length of time on stable </w:t>
      </w:r>
      <w:r>
        <w:rPr>
          <w:sz w:val="20"/>
          <w:szCs w:val="20"/>
          <w:highlight w:val="white"/>
        </w:rPr>
        <w:lastRenderedPageBreak/>
        <w:t>MAT was 58.1 months with a range of 6 to 130 m</w:t>
      </w:r>
      <w:r>
        <w:rPr>
          <w:sz w:val="20"/>
          <w:szCs w:val="20"/>
          <w:highlight w:val="white"/>
        </w:rPr>
        <w:t xml:space="preserve">onths and median length of 47 months. Characteristics of those agreeing to dose adjustment: 35. 7% were female, 64. </w:t>
      </w:r>
      <w:proofErr w:type="gramStart"/>
      <w:r>
        <w:rPr>
          <w:sz w:val="20"/>
          <w:szCs w:val="20"/>
          <w:highlight w:val="white"/>
        </w:rPr>
        <w:t>3% male, 64.</w:t>
      </w:r>
      <w:proofErr w:type="gramEnd"/>
      <w:r>
        <w:rPr>
          <w:sz w:val="20"/>
          <w:szCs w:val="20"/>
          <w:highlight w:val="white"/>
        </w:rPr>
        <w:t xml:space="preserve"> 3% </w:t>
      </w:r>
      <w:proofErr w:type="gramStart"/>
      <w:r>
        <w:rPr>
          <w:sz w:val="20"/>
          <w:szCs w:val="20"/>
          <w:highlight w:val="white"/>
        </w:rPr>
        <w:t>employed,</w:t>
      </w:r>
      <w:proofErr w:type="gramEnd"/>
      <w:r>
        <w:rPr>
          <w:sz w:val="20"/>
          <w:szCs w:val="20"/>
          <w:highlight w:val="white"/>
        </w:rPr>
        <w:t xml:space="preserve"> 73. 8% were Caucasian, 19% African American, 7. </w:t>
      </w:r>
      <w:proofErr w:type="gramStart"/>
      <w:r>
        <w:rPr>
          <w:sz w:val="20"/>
          <w:szCs w:val="20"/>
          <w:highlight w:val="white"/>
        </w:rPr>
        <w:t>1% Hispanic.</w:t>
      </w:r>
      <w:proofErr w:type="gramEnd"/>
      <w:r>
        <w:rPr>
          <w:sz w:val="20"/>
          <w:szCs w:val="20"/>
          <w:highlight w:val="white"/>
        </w:rPr>
        <w:t xml:space="preserve"> All patients in the MAT Clinic had already completed </w:t>
      </w:r>
      <w:r>
        <w:rPr>
          <w:sz w:val="20"/>
          <w:szCs w:val="20"/>
          <w:highlight w:val="white"/>
        </w:rPr>
        <w:t xml:space="preserve">an IOP and Aftercare program, ongoing 12 step participation,  regular urine toxicology screening and prescription monitoring program checks. The average daily </w:t>
      </w:r>
      <w:proofErr w:type="spellStart"/>
      <w:r>
        <w:rPr>
          <w:sz w:val="20"/>
          <w:szCs w:val="20"/>
          <w:highlight w:val="white"/>
        </w:rPr>
        <w:t>bup</w:t>
      </w:r>
      <w:proofErr w:type="spellEnd"/>
      <w:r>
        <w:rPr>
          <w:sz w:val="20"/>
          <w:szCs w:val="20"/>
          <w:highlight w:val="white"/>
        </w:rPr>
        <w:t xml:space="preserve">/NX dosage of patients prior to taper was 11 mg with a range of 6 mg to 16 mg. The ultra-slow </w:t>
      </w:r>
      <w:r>
        <w:rPr>
          <w:sz w:val="20"/>
          <w:szCs w:val="20"/>
          <w:highlight w:val="white"/>
        </w:rPr>
        <w:t xml:space="preserve">taper approach produced minimal withdrawal symptoms (some mild increase in self-reported anxiety in the two weeks following a dose decrease), no increase in opioid cravings and no relapse events. The average final </w:t>
      </w:r>
      <w:proofErr w:type="spellStart"/>
      <w:r>
        <w:rPr>
          <w:sz w:val="20"/>
          <w:szCs w:val="20"/>
          <w:highlight w:val="white"/>
        </w:rPr>
        <w:t>bup</w:t>
      </w:r>
      <w:proofErr w:type="spellEnd"/>
      <w:r>
        <w:rPr>
          <w:sz w:val="20"/>
          <w:szCs w:val="20"/>
          <w:highlight w:val="white"/>
        </w:rPr>
        <w:t xml:space="preserve">/NX dose at the time of data gathering </w:t>
      </w:r>
      <w:r>
        <w:rPr>
          <w:sz w:val="20"/>
          <w:szCs w:val="20"/>
          <w:highlight w:val="white"/>
        </w:rPr>
        <w:t xml:space="preserve">for taper patients was 5.4 mg with a range of 0 mg to 12 mg. Of the 45 patients who chose to taper, 5 patients reduced their dose to zero, 4 patients were unable to tolerate the taper at all were returned to their initial </w:t>
      </w:r>
      <w:proofErr w:type="spellStart"/>
      <w:r>
        <w:rPr>
          <w:sz w:val="20"/>
          <w:szCs w:val="20"/>
          <w:highlight w:val="white"/>
        </w:rPr>
        <w:t>bup</w:t>
      </w:r>
      <w:proofErr w:type="spellEnd"/>
      <w:r>
        <w:rPr>
          <w:sz w:val="20"/>
          <w:szCs w:val="20"/>
          <w:highlight w:val="white"/>
        </w:rPr>
        <w:t>/NX dose. There was no report o</w:t>
      </w:r>
      <w:r>
        <w:rPr>
          <w:sz w:val="20"/>
          <w:szCs w:val="20"/>
          <w:highlight w:val="white"/>
        </w:rPr>
        <w:t xml:space="preserve">f relapse in patients who began tapering, and there were no abnormal UDS results in this group. </w:t>
      </w:r>
    </w:p>
    <w:p w:rsidR="005D6B1C" w:rsidRDefault="005D6B1C">
      <w:pPr>
        <w:spacing w:line="240" w:lineRule="auto"/>
        <w:rPr>
          <w:sz w:val="20"/>
          <w:szCs w:val="20"/>
          <w:highlight w:val="white"/>
        </w:rPr>
      </w:pPr>
    </w:p>
    <w:p w:rsidR="005D6B1C" w:rsidRDefault="000B2678">
      <w:pPr>
        <w:spacing w:line="240" w:lineRule="auto"/>
        <w:rPr>
          <w:sz w:val="20"/>
          <w:szCs w:val="20"/>
        </w:rPr>
      </w:pPr>
      <w:r>
        <w:rPr>
          <w:sz w:val="20"/>
          <w:szCs w:val="20"/>
          <w:highlight w:val="white"/>
        </w:rPr>
        <w:t>Of the 101 patients in long-term stable MAT clinic, 66 patients completed the wellbeing assessment survey.   Of these 66 patients, 21 patients participated in</w:t>
      </w:r>
      <w:r>
        <w:rPr>
          <w:sz w:val="20"/>
          <w:szCs w:val="20"/>
          <w:highlight w:val="white"/>
        </w:rPr>
        <w:t xml:space="preserve"> dose adjustment while 45 did not. The average pretreatment wellbeing satisfaction scores of patients agreeing to dosage adjustment was 6.76.  The average pretreatment wellbeing satisfaction scores of patients who did not participate in dose adjustments wa</w:t>
      </w:r>
      <w:r>
        <w:rPr>
          <w:sz w:val="20"/>
          <w:szCs w:val="20"/>
          <w:highlight w:val="white"/>
        </w:rPr>
        <w:t xml:space="preserve">s 6.2 (p=.287).  The t-value comparing these two groups is 0.5648. The average posttreatment wellbeing satisfaction score of taper patients was 24.05 and of the non-taper patients was 23.38 (p=.253).  The t-value comparing these two groups is 0.668. </w:t>
      </w: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tbl>
      <w:tblPr>
        <w:tblStyle w:val="a"/>
        <w:tblW w:w="3945" w:type="dxa"/>
        <w:tblBorders>
          <w:top w:val="single" w:sz="18" w:space="0" w:color="000000"/>
          <w:left w:val="single" w:sz="8" w:space="0" w:color="4BACC6"/>
          <w:bottom w:val="single" w:sz="18" w:space="0" w:color="000000"/>
          <w:right w:val="single" w:sz="8" w:space="0" w:color="4BACC6"/>
          <w:insideH w:val="single" w:sz="4" w:space="0" w:color="000000"/>
          <w:insideV w:val="single" w:sz="4" w:space="0" w:color="000000"/>
        </w:tblBorders>
        <w:tblLayout w:type="fixed"/>
        <w:tblLook w:val="0620" w:firstRow="1" w:lastRow="0" w:firstColumn="0" w:lastColumn="0" w:noHBand="1" w:noVBand="1"/>
      </w:tblPr>
      <w:tblGrid>
        <w:gridCol w:w="236"/>
        <w:gridCol w:w="2406"/>
        <w:gridCol w:w="236"/>
        <w:gridCol w:w="831"/>
        <w:gridCol w:w="236"/>
      </w:tblGrid>
      <w:tr w:rsidR="005D6B1C" w:rsidTr="005D6B1C">
        <w:trPr>
          <w:cnfStyle w:val="100000000000" w:firstRow="1" w:lastRow="0" w:firstColumn="0" w:lastColumn="0" w:oddVBand="0" w:evenVBand="0" w:oddHBand="0" w:evenHBand="0" w:firstRowFirstColumn="0" w:firstRowLastColumn="0" w:lastRowFirstColumn="0" w:lastRowLastColumn="0"/>
          <w:trHeight w:val="400"/>
        </w:trPr>
        <w:tc>
          <w:tcPr>
            <w:tcW w:w="222" w:type="dxa"/>
          </w:tcPr>
          <w:p w:rsidR="005D6B1C" w:rsidRDefault="005D6B1C">
            <w:pPr>
              <w:rPr>
                <w:sz w:val="32"/>
                <w:szCs w:val="32"/>
                <w:u w:val="single"/>
              </w:rPr>
            </w:pPr>
          </w:p>
        </w:tc>
        <w:tc>
          <w:tcPr>
            <w:tcW w:w="2439" w:type="dxa"/>
          </w:tcPr>
          <w:p w:rsidR="005D6B1C" w:rsidRDefault="000B2678">
            <w:pPr>
              <w:rPr>
                <w:sz w:val="32"/>
                <w:szCs w:val="32"/>
                <w:u w:val="single"/>
              </w:rPr>
            </w:pPr>
            <w:r>
              <w:rPr>
                <w:sz w:val="32"/>
                <w:szCs w:val="32"/>
                <w:u w:val="single"/>
              </w:rPr>
              <w:t>D</w:t>
            </w:r>
            <w:r>
              <w:rPr>
                <w:sz w:val="32"/>
                <w:szCs w:val="32"/>
                <w:u w:val="single"/>
              </w:rPr>
              <w:t>emographics</w:t>
            </w:r>
          </w:p>
        </w:tc>
        <w:tc>
          <w:tcPr>
            <w:tcW w:w="222" w:type="dxa"/>
          </w:tcPr>
          <w:p w:rsidR="005D6B1C" w:rsidRDefault="005D6B1C"/>
        </w:tc>
        <w:tc>
          <w:tcPr>
            <w:tcW w:w="840" w:type="dxa"/>
          </w:tcPr>
          <w:p w:rsidR="005D6B1C" w:rsidRDefault="000B2678">
            <w:r>
              <w:t>%</w:t>
            </w:r>
          </w:p>
        </w:tc>
        <w:tc>
          <w:tcPr>
            <w:tcW w:w="222" w:type="dxa"/>
          </w:tcPr>
          <w:p w:rsidR="005D6B1C" w:rsidRDefault="005D6B1C"/>
        </w:tc>
      </w:tr>
      <w:tr w:rsidR="005D6B1C" w:rsidTr="005D6B1C">
        <w:trPr>
          <w:trHeight w:val="380"/>
        </w:trPr>
        <w:tc>
          <w:tcPr>
            <w:tcW w:w="222" w:type="dxa"/>
          </w:tcPr>
          <w:p w:rsidR="005D6B1C" w:rsidRDefault="005D6B1C"/>
        </w:tc>
        <w:tc>
          <w:tcPr>
            <w:tcW w:w="2439" w:type="dxa"/>
          </w:tcPr>
          <w:p w:rsidR="005D6B1C" w:rsidRDefault="000B2678">
            <w:r>
              <w:t>Male</w:t>
            </w:r>
          </w:p>
        </w:tc>
        <w:tc>
          <w:tcPr>
            <w:tcW w:w="222" w:type="dxa"/>
          </w:tcPr>
          <w:p w:rsidR="005D6B1C" w:rsidRDefault="005D6B1C"/>
        </w:tc>
        <w:tc>
          <w:tcPr>
            <w:tcW w:w="840" w:type="dxa"/>
          </w:tcPr>
          <w:p w:rsidR="005D6B1C" w:rsidRDefault="000B2678">
            <w:r>
              <w:t>64.3%</w:t>
            </w:r>
          </w:p>
        </w:tc>
        <w:tc>
          <w:tcPr>
            <w:tcW w:w="222" w:type="dxa"/>
          </w:tcPr>
          <w:p w:rsidR="005D6B1C" w:rsidRDefault="005D6B1C"/>
        </w:tc>
      </w:tr>
      <w:tr w:rsidR="005D6B1C" w:rsidTr="005D6B1C">
        <w:trPr>
          <w:trHeight w:val="400"/>
        </w:trPr>
        <w:tc>
          <w:tcPr>
            <w:tcW w:w="222" w:type="dxa"/>
          </w:tcPr>
          <w:p w:rsidR="005D6B1C" w:rsidRDefault="005D6B1C"/>
        </w:tc>
        <w:tc>
          <w:tcPr>
            <w:tcW w:w="2439" w:type="dxa"/>
          </w:tcPr>
          <w:p w:rsidR="005D6B1C" w:rsidRDefault="000B2678">
            <w:r>
              <w:t>Female</w:t>
            </w:r>
          </w:p>
        </w:tc>
        <w:tc>
          <w:tcPr>
            <w:tcW w:w="222" w:type="dxa"/>
          </w:tcPr>
          <w:p w:rsidR="005D6B1C" w:rsidRDefault="005D6B1C"/>
        </w:tc>
        <w:tc>
          <w:tcPr>
            <w:tcW w:w="840" w:type="dxa"/>
          </w:tcPr>
          <w:p w:rsidR="005D6B1C" w:rsidRDefault="000B2678">
            <w:r>
              <w:t>35.7%</w:t>
            </w:r>
          </w:p>
        </w:tc>
        <w:tc>
          <w:tcPr>
            <w:tcW w:w="222" w:type="dxa"/>
          </w:tcPr>
          <w:p w:rsidR="005D6B1C" w:rsidRDefault="005D6B1C"/>
        </w:tc>
      </w:tr>
      <w:tr w:rsidR="005D6B1C" w:rsidTr="005D6B1C">
        <w:trPr>
          <w:trHeight w:val="400"/>
        </w:trPr>
        <w:tc>
          <w:tcPr>
            <w:tcW w:w="222" w:type="dxa"/>
          </w:tcPr>
          <w:p w:rsidR="005D6B1C" w:rsidRDefault="005D6B1C"/>
        </w:tc>
        <w:tc>
          <w:tcPr>
            <w:tcW w:w="2439" w:type="dxa"/>
          </w:tcPr>
          <w:p w:rsidR="005D6B1C" w:rsidRDefault="000B2678">
            <w:r>
              <w:t>Employed</w:t>
            </w:r>
          </w:p>
        </w:tc>
        <w:tc>
          <w:tcPr>
            <w:tcW w:w="222" w:type="dxa"/>
          </w:tcPr>
          <w:p w:rsidR="005D6B1C" w:rsidRDefault="005D6B1C"/>
        </w:tc>
        <w:tc>
          <w:tcPr>
            <w:tcW w:w="840" w:type="dxa"/>
          </w:tcPr>
          <w:p w:rsidR="005D6B1C" w:rsidRDefault="000B2678">
            <w:r>
              <w:t>64.3%</w:t>
            </w:r>
          </w:p>
        </w:tc>
        <w:tc>
          <w:tcPr>
            <w:tcW w:w="222" w:type="dxa"/>
          </w:tcPr>
          <w:p w:rsidR="005D6B1C" w:rsidRDefault="005D6B1C"/>
        </w:tc>
      </w:tr>
      <w:tr w:rsidR="005D6B1C" w:rsidTr="005D6B1C">
        <w:trPr>
          <w:trHeight w:val="400"/>
        </w:trPr>
        <w:tc>
          <w:tcPr>
            <w:tcW w:w="222" w:type="dxa"/>
          </w:tcPr>
          <w:p w:rsidR="005D6B1C" w:rsidRDefault="005D6B1C"/>
        </w:tc>
        <w:tc>
          <w:tcPr>
            <w:tcW w:w="2439" w:type="dxa"/>
          </w:tcPr>
          <w:p w:rsidR="005D6B1C" w:rsidRDefault="005D6B1C"/>
        </w:tc>
        <w:tc>
          <w:tcPr>
            <w:tcW w:w="222" w:type="dxa"/>
          </w:tcPr>
          <w:p w:rsidR="005D6B1C" w:rsidRDefault="005D6B1C"/>
        </w:tc>
        <w:tc>
          <w:tcPr>
            <w:tcW w:w="840" w:type="dxa"/>
          </w:tcPr>
          <w:p w:rsidR="005D6B1C" w:rsidRDefault="005D6B1C"/>
        </w:tc>
        <w:tc>
          <w:tcPr>
            <w:tcW w:w="222" w:type="dxa"/>
          </w:tcPr>
          <w:p w:rsidR="005D6B1C" w:rsidRDefault="005D6B1C"/>
        </w:tc>
      </w:tr>
      <w:tr w:rsidR="005D6B1C" w:rsidTr="005D6B1C">
        <w:trPr>
          <w:trHeight w:val="380"/>
        </w:trPr>
        <w:tc>
          <w:tcPr>
            <w:tcW w:w="222" w:type="dxa"/>
          </w:tcPr>
          <w:p w:rsidR="005D6B1C" w:rsidRDefault="005D6B1C"/>
        </w:tc>
        <w:tc>
          <w:tcPr>
            <w:tcW w:w="2439" w:type="dxa"/>
          </w:tcPr>
          <w:p w:rsidR="005D6B1C" w:rsidRDefault="000B2678">
            <w:r>
              <w:t>Caucasian</w:t>
            </w:r>
          </w:p>
        </w:tc>
        <w:tc>
          <w:tcPr>
            <w:tcW w:w="222" w:type="dxa"/>
          </w:tcPr>
          <w:p w:rsidR="005D6B1C" w:rsidRDefault="005D6B1C"/>
        </w:tc>
        <w:tc>
          <w:tcPr>
            <w:tcW w:w="840" w:type="dxa"/>
          </w:tcPr>
          <w:p w:rsidR="005D6B1C" w:rsidRDefault="000B2678">
            <w:r>
              <w:t>73.8%</w:t>
            </w:r>
          </w:p>
        </w:tc>
        <w:tc>
          <w:tcPr>
            <w:tcW w:w="222" w:type="dxa"/>
          </w:tcPr>
          <w:p w:rsidR="005D6B1C" w:rsidRDefault="005D6B1C"/>
        </w:tc>
      </w:tr>
      <w:tr w:rsidR="005D6B1C" w:rsidTr="005D6B1C">
        <w:trPr>
          <w:trHeight w:val="400"/>
        </w:trPr>
        <w:tc>
          <w:tcPr>
            <w:tcW w:w="222" w:type="dxa"/>
          </w:tcPr>
          <w:p w:rsidR="005D6B1C" w:rsidRDefault="005D6B1C"/>
        </w:tc>
        <w:tc>
          <w:tcPr>
            <w:tcW w:w="2439" w:type="dxa"/>
          </w:tcPr>
          <w:p w:rsidR="005D6B1C" w:rsidRDefault="000B2678">
            <w:r>
              <w:t>African American</w:t>
            </w:r>
          </w:p>
        </w:tc>
        <w:tc>
          <w:tcPr>
            <w:tcW w:w="222" w:type="dxa"/>
          </w:tcPr>
          <w:p w:rsidR="005D6B1C" w:rsidRDefault="005D6B1C"/>
        </w:tc>
        <w:tc>
          <w:tcPr>
            <w:tcW w:w="840" w:type="dxa"/>
          </w:tcPr>
          <w:p w:rsidR="005D6B1C" w:rsidRDefault="000B2678">
            <w:r>
              <w:t>19%</w:t>
            </w:r>
          </w:p>
        </w:tc>
        <w:tc>
          <w:tcPr>
            <w:tcW w:w="222" w:type="dxa"/>
          </w:tcPr>
          <w:p w:rsidR="005D6B1C" w:rsidRDefault="005D6B1C"/>
        </w:tc>
      </w:tr>
      <w:tr w:rsidR="005D6B1C" w:rsidTr="005D6B1C">
        <w:trPr>
          <w:trHeight w:val="480"/>
        </w:trPr>
        <w:tc>
          <w:tcPr>
            <w:tcW w:w="222" w:type="dxa"/>
          </w:tcPr>
          <w:p w:rsidR="005D6B1C" w:rsidRDefault="005D6B1C"/>
        </w:tc>
        <w:tc>
          <w:tcPr>
            <w:tcW w:w="2439" w:type="dxa"/>
          </w:tcPr>
          <w:p w:rsidR="005D6B1C" w:rsidRDefault="000B2678">
            <w:r>
              <w:t>Hispanic</w:t>
            </w:r>
          </w:p>
        </w:tc>
        <w:tc>
          <w:tcPr>
            <w:tcW w:w="222" w:type="dxa"/>
          </w:tcPr>
          <w:p w:rsidR="005D6B1C" w:rsidRDefault="005D6B1C"/>
        </w:tc>
        <w:tc>
          <w:tcPr>
            <w:tcW w:w="840" w:type="dxa"/>
          </w:tcPr>
          <w:p w:rsidR="005D6B1C" w:rsidRDefault="000B2678">
            <w:r>
              <w:t>7.1%</w:t>
            </w:r>
          </w:p>
        </w:tc>
        <w:tc>
          <w:tcPr>
            <w:tcW w:w="222" w:type="dxa"/>
          </w:tcPr>
          <w:p w:rsidR="005D6B1C" w:rsidRDefault="005D6B1C"/>
        </w:tc>
      </w:tr>
    </w:tbl>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0B2678">
      <w:pPr>
        <w:spacing w:line="240" w:lineRule="auto"/>
        <w:rPr>
          <w:b/>
          <w:color w:val="222222"/>
          <w:sz w:val="20"/>
          <w:szCs w:val="20"/>
          <w:highlight w:val="white"/>
        </w:rPr>
      </w:pPr>
      <w:r>
        <w:rPr>
          <w:b/>
          <w:noProof/>
          <w:color w:val="222222"/>
          <w:sz w:val="20"/>
          <w:szCs w:val="20"/>
          <w:lang w:val="en-US"/>
        </w:rPr>
        <w:drawing>
          <wp:inline distT="0" distB="0" distL="0" distR="0">
            <wp:extent cx="5486400" cy="3200400"/>
            <wp:effectExtent l="0" t="0" r="19050" b="19050"/>
            <wp:docPr id="310" name="Chart 3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0B2678">
      <w:pPr>
        <w:spacing w:line="240" w:lineRule="auto"/>
        <w:rPr>
          <w:b/>
          <w:color w:val="222222"/>
          <w:sz w:val="20"/>
          <w:szCs w:val="20"/>
          <w:highlight w:val="white"/>
        </w:rPr>
      </w:pPr>
      <w:r>
        <w:rPr>
          <w:b/>
          <w:noProof/>
          <w:color w:val="222222"/>
          <w:sz w:val="20"/>
          <w:szCs w:val="20"/>
          <w:lang w:val="en-US"/>
        </w:rPr>
        <w:drawing>
          <wp:inline distT="0" distB="0" distL="0" distR="0">
            <wp:extent cx="5486400" cy="3200400"/>
            <wp:effectExtent l="38100" t="0" r="19050" b="19050"/>
            <wp:docPr id="313" name="Chart 3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tbl>
      <w:tblPr>
        <w:tblStyle w:val="a0"/>
        <w:tblW w:w="4951" w:type="dxa"/>
        <w:tblBorders>
          <w:top w:val="single" w:sz="18" w:space="0" w:color="000000"/>
          <w:left w:val="single" w:sz="8" w:space="0" w:color="4BACC6"/>
          <w:bottom w:val="single" w:sz="18" w:space="0" w:color="000000"/>
          <w:right w:val="single" w:sz="8" w:space="0" w:color="4BACC6"/>
          <w:insideH w:val="single" w:sz="4" w:space="0" w:color="000000"/>
          <w:insideV w:val="single" w:sz="4" w:space="0" w:color="000000"/>
        </w:tblBorders>
        <w:tblLayout w:type="fixed"/>
        <w:tblLook w:val="0620" w:firstRow="1" w:lastRow="0" w:firstColumn="0" w:lastColumn="0" w:noHBand="1" w:noVBand="1"/>
      </w:tblPr>
      <w:tblGrid>
        <w:gridCol w:w="236"/>
        <w:gridCol w:w="3663"/>
        <w:gridCol w:w="236"/>
        <w:gridCol w:w="580"/>
        <w:gridCol w:w="236"/>
      </w:tblGrid>
      <w:tr w:rsidR="005D6B1C" w:rsidTr="005D6B1C">
        <w:trPr>
          <w:cnfStyle w:val="100000000000" w:firstRow="1" w:lastRow="0" w:firstColumn="0" w:lastColumn="0" w:oddVBand="0" w:evenVBand="0" w:oddHBand="0" w:evenHBand="0" w:firstRowFirstColumn="0" w:firstRowLastColumn="0" w:lastRowFirstColumn="0" w:lastRowLastColumn="0"/>
          <w:trHeight w:val="220"/>
        </w:trPr>
        <w:tc>
          <w:tcPr>
            <w:tcW w:w="222" w:type="dxa"/>
          </w:tcPr>
          <w:p w:rsidR="005D6B1C" w:rsidRDefault="005D6B1C">
            <w:pPr>
              <w:rPr>
                <w:sz w:val="32"/>
                <w:szCs w:val="32"/>
                <w:u w:val="single"/>
              </w:rPr>
            </w:pPr>
          </w:p>
        </w:tc>
        <w:tc>
          <w:tcPr>
            <w:tcW w:w="3702" w:type="dxa"/>
          </w:tcPr>
          <w:p w:rsidR="005D6B1C" w:rsidRDefault="000B2678">
            <w:pPr>
              <w:rPr>
                <w:sz w:val="32"/>
                <w:szCs w:val="32"/>
                <w:u w:val="single"/>
              </w:rPr>
            </w:pPr>
            <w:r>
              <w:rPr>
                <w:sz w:val="32"/>
                <w:szCs w:val="32"/>
                <w:u w:val="single"/>
              </w:rPr>
              <w:t>Patient population</w:t>
            </w:r>
          </w:p>
        </w:tc>
        <w:tc>
          <w:tcPr>
            <w:tcW w:w="222" w:type="dxa"/>
          </w:tcPr>
          <w:p w:rsidR="005D6B1C" w:rsidRDefault="005D6B1C"/>
        </w:tc>
        <w:tc>
          <w:tcPr>
            <w:tcW w:w="584" w:type="dxa"/>
          </w:tcPr>
          <w:p w:rsidR="005D6B1C" w:rsidRDefault="005D6B1C"/>
        </w:tc>
        <w:tc>
          <w:tcPr>
            <w:tcW w:w="222" w:type="dxa"/>
          </w:tcPr>
          <w:p w:rsidR="005D6B1C" w:rsidRDefault="005D6B1C"/>
        </w:tc>
      </w:tr>
      <w:tr w:rsidR="005D6B1C" w:rsidTr="005D6B1C">
        <w:trPr>
          <w:trHeight w:val="220"/>
        </w:trPr>
        <w:tc>
          <w:tcPr>
            <w:tcW w:w="222" w:type="dxa"/>
          </w:tcPr>
          <w:p w:rsidR="005D6B1C" w:rsidRDefault="005D6B1C"/>
        </w:tc>
        <w:tc>
          <w:tcPr>
            <w:tcW w:w="3702" w:type="dxa"/>
          </w:tcPr>
          <w:p w:rsidR="005D6B1C" w:rsidRDefault="000B2678">
            <w:r>
              <w:t>Patients agreeing to slow dose tape</w:t>
            </w:r>
          </w:p>
        </w:tc>
        <w:tc>
          <w:tcPr>
            <w:tcW w:w="222" w:type="dxa"/>
          </w:tcPr>
          <w:p w:rsidR="005D6B1C" w:rsidRDefault="005D6B1C">
            <w:pPr>
              <w:jc w:val="right"/>
            </w:pPr>
          </w:p>
        </w:tc>
        <w:tc>
          <w:tcPr>
            <w:tcW w:w="584" w:type="dxa"/>
          </w:tcPr>
          <w:p w:rsidR="005D6B1C" w:rsidRDefault="000B2678">
            <w:pPr>
              <w:jc w:val="right"/>
            </w:pPr>
            <w:r>
              <w:t>45</w:t>
            </w:r>
          </w:p>
        </w:tc>
        <w:tc>
          <w:tcPr>
            <w:tcW w:w="222" w:type="dxa"/>
          </w:tcPr>
          <w:p w:rsidR="005D6B1C" w:rsidRDefault="005D6B1C">
            <w:pPr>
              <w:jc w:val="right"/>
            </w:pPr>
          </w:p>
        </w:tc>
      </w:tr>
      <w:tr w:rsidR="005D6B1C" w:rsidTr="005D6B1C">
        <w:trPr>
          <w:trHeight w:val="220"/>
        </w:trPr>
        <w:tc>
          <w:tcPr>
            <w:tcW w:w="222" w:type="dxa"/>
          </w:tcPr>
          <w:p w:rsidR="005D6B1C" w:rsidRDefault="005D6B1C"/>
        </w:tc>
        <w:tc>
          <w:tcPr>
            <w:tcW w:w="3702" w:type="dxa"/>
          </w:tcPr>
          <w:p w:rsidR="005D6B1C" w:rsidRDefault="000B2678">
            <w:r>
              <w:t>Patient that did not agree to taper</w:t>
            </w:r>
          </w:p>
        </w:tc>
        <w:tc>
          <w:tcPr>
            <w:tcW w:w="222" w:type="dxa"/>
          </w:tcPr>
          <w:p w:rsidR="005D6B1C" w:rsidRDefault="005D6B1C">
            <w:pPr>
              <w:jc w:val="right"/>
            </w:pPr>
          </w:p>
        </w:tc>
        <w:tc>
          <w:tcPr>
            <w:tcW w:w="584" w:type="dxa"/>
          </w:tcPr>
          <w:p w:rsidR="005D6B1C" w:rsidRDefault="000B2678">
            <w:pPr>
              <w:tabs>
                <w:tab w:val="right" w:pos="368"/>
              </w:tabs>
            </w:pPr>
            <w:r>
              <w:tab/>
              <w:t>56</w:t>
            </w:r>
          </w:p>
          <w:p w:rsidR="005D6B1C" w:rsidRDefault="005D6B1C">
            <w:pPr>
              <w:jc w:val="right"/>
            </w:pPr>
          </w:p>
        </w:tc>
        <w:tc>
          <w:tcPr>
            <w:tcW w:w="222" w:type="dxa"/>
          </w:tcPr>
          <w:p w:rsidR="005D6B1C" w:rsidRDefault="005D6B1C">
            <w:pPr>
              <w:jc w:val="right"/>
            </w:pPr>
          </w:p>
        </w:tc>
      </w:tr>
      <w:tr w:rsidR="005D6B1C" w:rsidTr="005D6B1C">
        <w:trPr>
          <w:trHeight w:val="240"/>
        </w:trPr>
        <w:tc>
          <w:tcPr>
            <w:tcW w:w="222" w:type="dxa"/>
          </w:tcPr>
          <w:p w:rsidR="005D6B1C" w:rsidRDefault="005D6B1C"/>
        </w:tc>
        <w:tc>
          <w:tcPr>
            <w:tcW w:w="3702" w:type="dxa"/>
          </w:tcPr>
          <w:p w:rsidR="005D6B1C" w:rsidRDefault="000B2678">
            <w:r>
              <w:t>Patients able to taper to zero</w:t>
            </w:r>
          </w:p>
        </w:tc>
        <w:tc>
          <w:tcPr>
            <w:tcW w:w="222" w:type="dxa"/>
          </w:tcPr>
          <w:p w:rsidR="005D6B1C" w:rsidRDefault="005D6B1C">
            <w:pPr>
              <w:jc w:val="right"/>
            </w:pPr>
          </w:p>
        </w:tc>
        <w:tc>
          <w:tcPr>
            <w:tcW w:w="584" w:type="dxa"/>
          </w:tcPr>
          <w:p w:rsidR="005D6B1C" w:rsidRDefault="000B2678">
            <w:pPr>
              <w:jc w:val="right"/>
            </w:pPr>
            <w:r>
              <w:t>5</w:t>
            </w:r>
          </w:p>
        </w:tc>
        <w:tc>
          <w:tcPr>
            <w:tcW w:w="222" w:type="dxa"/>
          </w:tcPr>
          <w:p w:rsidR="005D6B1C" w:rsidRDefault="005D6B1C">
            <w:pPr>
              <w:jc w:val="right"/>
            </w:pPr>
          </w:p>
        </w:tc>
      </w:tr>
      <w:tr w:rsidR="005D6B1C" w:rsidTr="005D6B1C">
        <w:trPr>
          <w:trHeight w:val="220"/>
        </w:trPr>
        <w:tc>
          <w:tcPr>
            <w:tcW w:w="222" w:type="dxa"/>
          </w:tcPr>
          <w:p w:rsidR="005D6B1C" w:rsidRDefault="005D6B1C"/>
        </w:tc>
        <w:tc>
          <w:tcPr>
            <w:tcW w:w="3702" w:type="dxa"/>
          </w:tcPr>
          <w:p w:rsidR="005D6B1C" w:rsidRDefault="000B2678">
            <w:r>
              <w:t>Patient unable to tolerate taper</w:t>
            </w:r>
          </w:p>
        </w:tc>
        <w:tc>
          <w:tcPr>
            <w:tcW w:w="222" w:type="dxa"/>
          </w:tcPr>
          <w:p w:rsidR="005D6B1C" w:rsidRDefault="005D6B1C">
            <w:pPr>
              <w:jc w:val="right"/>
            </w:pPr>
          </w:p>
        </w:tc>
        <w:tc>
          <w:tcPr>
            <w:tcW w:w="584" w:type="dxa"/>
          </w:tcPr>
          <w:p w:rsidR="005D6B1C" w:rsidRDefault="000B2678">
            <w:pPr>
              <w:jc w:val="right"/>
            </w:pPr>
            <w:r>
              <w:t>4</w:t>
            </w:r>
          </w:p>
          <w:p w:rsidR="005D6B1C" w:rsidRDefault="005D6B1C">
            <w:pPr>
              <w:jc w:val="right"/>
            </w:pPr>
          </w:p>
        </w:tc>
        <w:tc>
          <w:tcPr>
            <w:tcW w:w="222" w:type="dxa"/>
          </w:tcPr>
          <w:p w:rsidR="005D6B1C" w:rsidRDefault="005D6B1C">
            <w:pPr>
              <w:jc w:val="right"/>
            </w:pPr>
          </w:p>
        </w:tc>
      </w:tr>
      <w:tr w:rsidR="005D6B1C" w:rsidTr="005D6B1C">
        <w:trPr>
          <w:trHeight w:val="220"/>
        </w:trPr>
        <w:tc>
          <w:tcPr>
            <w:tcW w:w="222" w:type="dxa"/>
          </w:tcPr>
          <w:p w:rsidR="005D6B1C" w:rsidRDefault="005D6B1C"/>
        </w:tc>
        <w:tc>
          <w:tcPr>
            <w:tcW w:w="3702" w:type="dxa"/>
          </w:tcPr>
          <w:p w:rsidR="005D6B1C" w:rsidRDefault="000B2678">
            <w:r>
              <w:t>Total</w:t>
            </w:r>
          </w:p>
        </w:tc>
        <w:tc>
          <w:tcPr>
            <w:tcW w:w="222" w:type="dxa"/>
          </w:tcPr>
          <w:p w:rsidR="005D6B1C" w:rsidRDefault="005D6B1C">
            <w:pPr>
              <w:jc w:val="right"/>
            </w:pPr>
          </w:p>
        </w:tc>
        <w:tc>
          <w:tcPr>
            <w:tcW w:w="584" w:type="dxa"/>
          </w:tcPr>
          <w:p w:rsidR="005D6B1C" w:rsidRDefault="000B2678">
            <w:pPr>
              <w:jc w:val="right"/>
            </w:pPr>
            <w:r>
              <w:t>101</w:t>
            </w:r>
          </w:p>
        </w:tc>
        <w:tc>
          <w:tcPr>
            <w:tcW w:w="222" w:type="dxa"/>
          </w:tcPr>
          <w:p w:rsidR="005D6B1C" w:rsidRDefault="005D6B1C">
            <w:pPr>
              <w:jc w:val="right"/>
            </w:pPr>
          </w:p>
        </w:tc>
      </w:tr>
      <w:tr w:rsidR="005D6B1C" w:rsidTr="005D6B1C">
        <w:trPr>
          <w:trHeight w:val="220"/>
        </w:trPr>
        <w:tc>
          <w:tcPr>
            <w:tcW w:w="222" w:type="dxa"/>
          </w:tcPr>
          <w:p w:rsidR="005D6B1C" w:rsidRDefault="005D6B1C"/>
        </w:tc>
        <w:tc>
          <w:tcPr>
            <w:tcW w:w="3702" w:type="dxa"/>
          </w:tcPr>
          <w:p w:rsidR="005D6B1C" w:rsidRDefault="005D6B1C"/>
        </w:tc>
        <w:tc>
          <w:tcPr>
            <w:tcW w:w="222" w:type="dxa"/>
          </w:tcPr>
          <w:p w:rsidR="005D6B1C" w:rsidRDefault="005D6B1C"/>
        </w:tc>
        <w:tc>
          <w:tcPr>
            <w:tcW w:w="584" w:type="dxa"/>
          </w:tcPr>
          <w:p w:rsidR="005D6B1C" w:rsidRDefault="005D6B1C"/>
        </w:tc>
        <w:tc>
          <w:tcPr>
            <w:tcW w:w="222" w:type="dxa"/>
          </w:tcPr>
          <w:p w:rsidR="005D6B1C" w:rsidRDefault="005D6B1C"/>
        </w:tc>
      </w:tr>
    </w:tbl>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tbl>
      <w:tblPr>
        <w:tblStyle w:val="a1"/>
        <w:tblW w:w="6898" w:type="dxa"/>
        <w:tblBorders>
          <w:top w:val="single" w:sz="18" w:space="0" w:color="000000"/>
          <w:left w:val="single" w:sz="8" w:space="0" w:color="4BACC6"/>
          <w:bottom w:val="single" w:sz="18" w:space="0" w:color="000000"/>
          <w:right w:val="single" w:sz="8" w:space="0" w:color="4BACC6"/>
          <w:insideH w:val="single" w:sz="4" w:space="0" w:color="000000"/>
          <w:insideV w:val="single" w:sz="4" w:space="0" w:color="000000"/>
        </w:tblBorders>
        <w:tblLayout w:type="fixed"/>
        <w:tblLook w:val="0620" w:firstRow="1" w:lastRow="0" w:firstColumn="0" w:lastColumn="0" w:noHBand="1" w:noVBand="1"/>
      </w:tblPr>
      <w:tblGrid>
        <w:gridCol w:w="366"/>
        <w:gridCol w:w="3948"/>
        <w:gridCol w:w="2218"/>
        <w:gridCol w:w="366"/>
      </w:tblGrid>
      <w:tr w:rsidR="005D6B1C">
        <w:trPr>
          <w:cnfStyle w:val="100000000000" w:firstRow="1" w:lastRow="0" w:firstColumn="0" w:lastColumn="0" w:oddVBand="0" w:evenVBand="0" w:oddHBand="0" w:evenHBand="0" w:firstRowFirstColumn="0" w:firstRowLastColumn="0" w:lastRowFirstColumn="0" w:lastRowLastColumn="0"/>
        </w:trPr>
        <w:tc>
          <w:tcPr>
            <w:tcW w:w="6898" w:type="dxa"/>
            <w:gridSpan w:val="4"/>
          </w:tcPr>
          <w:p w:rsidR="005D6B1C" w:rsidRDefault="000B2678">
            <w:pPr>
              <w:jc w:val="center"/>
            </w:pPr>
            <w:r>
              <w:rPr>
                <w:sz w:val="24"/>
                <w:szCs w:val="24"/>
              </w:rPr>
              <w:t>Dose Adjustment data of patients agreeing to taper regimens</w:t>
            </w:r>
          </w:p>
        </w:tc>
      </w:tr>
      <w:tr w:rsidR="005D6B1C">
        <w:tc>
          <w:tcPr>
            <w:tcW w:w="366" w:type="dxa"/>
          </w:tcPr>
          <w:p w:rsidR="005D6B1C" w:rsidRDefault="005D6B1C"/>
        </w:tc>
        <w:tc>
          <w:tcPr>
            <w:tcW w:w="3948" w:type="dxa"/>
          </w:tcPr>
          <w:p w:rsidR="005D6B1C" w:rsidRDefault="005D6B1C">
            <w:pPr>
              <w:rPr>
                <w:i/>
                <w:color w:val="7F7F7F"/>
              </w:rPr>
            </w:pPr>
          </w:p>
        </w:tc>
        <w:tc>
          <w:tcPr>
            <w:tcW w:w="2218" w:type="dxa"/>
          </w:tcPr>
          <w:p w:rsidR="005D6B1C" w:rsidRDefault="005D6B1C"/>
        </w:tc>
        <w:tc>
          <w:tcPr>
            <w:tcW w:w="366" w:type="dxa"/>
          </w:tcPr>
          <w:p w:rsidR="005D6B1C" w:rsidRDefault="005D6B1C"/>
        </w:tc>
      </w:tr>
      <w:tr w:rsidR="005D6B1C">
        <w:tc>
          <w:tcPr>
            <w:tcW w:w="366" w:type="dxa"/>
          </w:tcPr>
          <w:p w:rsidR="005D6B1C" w:rsidRDefault="005D6B1C"/>
        </w:tc>
        <w:tc>
          <w:tcPr>
            <w:tcW w:w="3948" w:type="dxa"/>
          </w:tcPr>
          <w:p w:rsidR="005D6B1C" w:rsidRDefault="000B2678">
            <w:pPr>
              <w:pBdr>
                <w:top w:val="nil"/>
                <w:left w:val="nil"/>
                <w:bottom w:val="nil"/>
                <w:right w:val="nil"/>
                <w:between w:val="nil"/>
              </w:pBdr>
              <w:spacing w:after="200" w:line="276" w:lineRule="auto"/>
              <w:rPr>
                <w:color w:val="000000"/>
              </w:rPr>
            </w:pPr>
            <w:r>
              <w:rPr>
                <w:color w:val="000000"/>
              </w:rPr>
              <w:t xml:space="preserve">Average </w:t>
            </w:r>
            <w:proofErr w:type="spellStart"/>
            <w:r>
              <w:rPr>
                <w:color w:val="000000"/>
              </w:rPr>
              <w:t>bup</w:t>
            </w:r>
            <w:proofErr w:type="spellEnd"/>
            <w:r>
              <w:rPr>
                <w:color w:val="000000"/>
              </w:rPr>
              <w:t>/NX dosage prior to taper</w:t>
            </w:r>
          </w:p>
        </w:tc>
        <w:tc>
          <w:tcPr>
            <w:tcW w:w="2218" w:type="dxa"/>
          </w:tcPr>
          <w:p w:rsidR="005D6B1C" w:rsidRDefault="000B2678">
            <w:pPr>
              <w:pBdr>
                <w:top w:val="nil"/>
                <w:left w:val="nil"/>
                <w:bottom w:val="nil"/>
                <w:right w:val="nil"/>
                <w:between w:val="nil"/>
              </w:pBdr>
              <w:spacing w:after="200" w:line="276" w:lineRule="auto"/>
              <w:jc w:val="right"/>
              <w:rPr>
                <w:color w:val="000000"/>
              </w:rPr>
            </w:pPr>
            <w:r>
              <w:rPr>
                <w:color w:val="000000"/>
              </w:rPr>
              <w:t>11 mg</w:t>
            </w:r>
          </w:p>
        </w:tc>
        <w:tc>
          <w:tcPr>
            <w:tcW w:w="366" w:type="dxa"/>
          </w:tcPr>
          <w:p w:rsidR="005D6B1C" w:rsidRDefault="005D6B1C">
            <w:pPr>
              <w:pBdr>
                <w:top w:val="nil"/>
                <w:left w:val="nil"/>
                <w:bottom w:val="nil"/>
                <w:right w:val="nil"/>
                <w:between w:val="nil"/>
              </w:pBdr>
              <w:spacing w:after="200" w:line="276" w:lineRule="auto"/>
              <w:rPr>
                <w:color w:val="000000"/>
              </w:rPr>
            </w:pPr>
          </w:p>
        </w:tc>
      </w:tr>
      <w:tr w:rsidR="005D6B1C" w:rsidTr="005D6B1C">
        <w:tc>
          <w:tcPr>
            <w:tcW w:w="366" w:type="dxa"/>
            <w:tcBorders>
              <w:bottom w:val="nil"/>
            </w:tcBorders>
          </w:tcPr>
          <w:p w:rsidR="005D6B1C" w:rsidRDefault="005D6B1C"/>
        </w:tc>
        <w:tc>
          <w:tcPr>
            <w:tcW w:w="3948" w:type="dxa"/>
          </w:tcPr>
          <w:p w:rsidR="005D6B1C" w:rsidRDefault="000B2678">
            <w:pPr>
              <w:pBdr>
                <w:top w:val="nil"/>
                <w:left w:val="nil"/>
                <w:bottom w:val="nil"/>
                <w:right w:val="nil"/>
                <w:between w:val="nil"/>
              </w:pBdr>
              <w:spacing w:after="200" w:line="276" w:lineRule="auto"/>
              <w:rPr>
                <w:color w:val="000000"/>
              </w:rPr>
            </w:pPr>
            <w:r>
              <w:rPr>
                <w:color w:val="000000"/>
              </w:rPr>
              <w:t xml:space="preserve">Median </w:t>
            </w:r>
            <w:proofErr w:type="spellStart"/>
            <w:r>
              <w:rPr>
                <w:color w:val="000000"/>
              </w:rPr>
              <w:t>bup</w:t>
            </w:r>
            <w:proofErr w:type="spellEnd"/>
            <w:r>
              <w:rPr>
                <w:color w:val="000000"/>
              </w:rPr>
              <w:t>/NX dosage prior to taper</w:t>
            </w:r>
          </w:p>
        </w:tc>
        <w:tc>
          <w:tcPr>
            <w:tcW w:w="2218" w:type="dxa"/>
          </w:tcPr>
          <w:p w:rsidR="005D6B1C" w:rsidRDefault="000B2678">
            <w:pPr>
              <w:pBdr>
                <w:top w:val="nil"/>
                <w:left w:val="nil"/>
                <w:bottom w:val="nil"/>
                <w:right w:val="nil"/>
                <w:between w:val="nil"/>
              </w:pBdr>
              <w:spacing w:after="200" w:line="276" w:lineRule="auto"/>
              <w:jc w:val="right"/>
              <w:rPr>
                <w:color w:val="000000"/>
              </w:rPr>
            </w:pPr>
            <w:r>
              <w:rPr>
                <w:color w:val="000000"/>
              </w:rPr>
              <w:t>12 mg</w:t>
            </w:r>
          </w:p>
        </w:tc>
        <w:tc>
          <w:tcPr>
            <w:tcW w:w="366" w:type="dxa"/>
            <w:tcBorders>
              <w:bottom w:val="nil"/>
            </w:tcBorders>
          </w:tcPr>
          <w:p w:rsidR="005D6B1C" w:rsidRDefault="005D6B1C">
            <w:pPr>
              <w:pBdr>
                <w:top w:val="nil"/>
                <w:left w:val="nil"/>
                <w:bottom w:val="nil"/>
                <w:right w:val="nil"/>
                <w:between w:val="nil"/>
              </w:pBdr>
              <w:spacing w:after="200" w:line="276" w:lineRule="auto"/>
              <w:rPr>
                <w:color w:val="000000"/>
              </w:rPr>
            </w:pPr>
          </w:p>
        </w:tc>
      </w:tr>
      <w:tr w:rsidR="005D6B1C" w:rsidTr="005D6B1C">
        <w:tc>
          <w:tcPr>
            <w:tcW w:w="366" w:type="dxa"/>
            <w:tcBorders>
              <w:top w:val="nil"/>
              <w:bottom w:val="nil"/>
            </w:tcBorders>
          </w:tcPr>
          <w:p w:rsidR="005D6B1C" w:rsidRDefault="000B2678">
            <w:r>
              <w:t xml:space="preserve"> </w:t>
            </w:r>
          </w:p>
        </w:tc>
        <w:tc>
          <w:tcPr>
            <w:tcW w:w="3948" w:type="dxa"/>
            <w:tcBorders>
              <w:bottom w:val="single" w:sz="24" w:space="0" w:color="4BACC6"/>
            </w:tcBorders>
          </w:tcPr>
          <w:p w:rsidR="005D6B1C" w:rsidRDefault="000B2678">
            <w:pPr>
              <w:pBdr>
                <w:top w:val="nil"/>
                <w:left w:val="nil"/>
                <w:bottom w:val="nil"/>
                <w:right w:val="nil"/>
                <w:between w:val="nil"/>
              </w:pBdr>
              <w:spacing w:after="200" w:line="276" w:lineRule="auto"/>
              <w:rPr>
                <w:color w:val="000000"/>
              </w:rPr>
            </w:pPr>
            <w:r>
              <w:rPr>
                <w:color w:val="000000"/>
              </w:rPr>
              <w:t>Range of dosages</w:t>
            </w:r>
          </w:p>
        </w:tc>
        <w:tc>
          <w:tcPr>
            <w:tcW w:w="2218" w:type="dxa"/>
            <w:tcBorders>
              <w:bottom w:val="single" w:sz="24" w:space="0" w:color="4BACC6"/>
            </w:tcBorders>
          </w:tcPr>
          <w:p w:rsidR="005D6B1C" w:rsidRDefault="000B2678">
            <w:pPr>
              <w:pBdr>
                <w:top w:val="nil"/>
                <w:left w:val="nil"/>
                <w:bottom w:val="nil"/>
                <w:right w:val="nil"/>
                <w:between w:val="nil"/>
              </w:pBdr>
              <w:spacing w:after="200" w:line="276" w:lineRule="auto"/>
              <w:jc w:val="right"/>
              <w:rPr>
                <w:color w:val="000000"/>
              </w:rPr>
            </w:pPr>
            <w:r>
              <w:rPr>
                <w:color w:val="000000"/>
              </w:rPr>
              <w:t>6mg –16mg</w:t>
            </w:r>
          </w:p>
        </w:tc>
        <w:tc>
          <w:tcPr>
            <w:tcW w:w="366" w:type="dxa"/>
            <w:tcBorders>
              <w:top w:val="nil"/>
              <w:bottom w:val="nil"/>
            </w:tcBorders>
          </w:tcPr>
          <w:p w:rsidR="005D6B1C" w:rsidRDefault="005D6B1C">
            <w:pPr>
              <w:pBdr>
                <w:top w:val="nil"/>
                <w:left w:val="nil"/>
                <w:bottom w:val="nil"/>
                <w:right w:val="nil"/>
                <w:between w:val="nil"/>
              </w:pBdr>
              <w:spacing w:after="200" w:line="276" w:lineRule="auto"/>
              <w:rPr>
                <w:color w:val="000000"/>
              </w:rPr>
            </w:pPr>
          </w:p>
        </w:tc>
      </w:tr>
      <w:tr w:rsidR="005D6B1C" w:rsidTr="005D6B1C">
        <w:tc>
          <w:tcPr>
            <w:tcW w:w="366" w:type="dxa"/>
            <w:tcBorders>
              <w:top w:val="nil"/>
              <w:bottom w:val="nil"/>
            </w:tcBorders>
          </w:tcPr>
          <w:p w:rsidR="005D6B1C" w:rsidRDefault="005D6B1C"/>
        </w:tc>
        <w:tc>
          <w:tcPr>
            <w:tcW w:w="3948" w:type="dxa"/>
            <w:tcBorders>
              <w:top w:val="single" w:sz="24" w:space="0" w:color="4BACC6"/>
              <w:bottom w:val="nil"/>
            </w:tcBorders>
          </w:tcPr>
          <w:p w:rsidR="005D6B1C" w:rsidRDefault="005D6B1C">
            <w:pPr>
              <w:pBdr>
                <w:top w:val="nil"/>
                <w:left w:val="nil"/>
                <w:bottom w:val="nil"/>
                <w:right w:val="nil"/>
                <w:between w:val="nil"/>
              </w:pBdr>
              <w:spacing w:after="200" w:line="276" w:lineRule="auto"/>
              <w:rPr>
                <w:color w:val="000000"/>
              </w:rPr>
            </w:pPr>
          </w:p>
        </w:tc>
        <w:tc>
          <w:tcPr>
            <w:tcW w:w="2218" w:type="dxa"/>
            <w:tcBorders>
              <w:top w:val="single" w:sz="24" w:space="0" w:color="4BACC6"/>
              <w:bottom w:val="nil"/>
            </w:tcBorders>
          </w:tcPr>
          <w:p w:rsidR="005D6B1C" w:rsidRDefault="005D6B1C">
            <w:pPr>
              <w:pBdr>
                <w:top w:val="nil"/>
                <w:left w:val="nil"/>
                <w:bottom w:val="nil"/>
                <w:right w:val="nil"/>
                <w:between w:val="nil"/>
              </w:pBdr>
              <w:spacing w:after="200" w:line="276" w:lineRule="auto"/>
              <w:jc w:val="right"/>
              <w:rPr>
                <w:color w:val="000000"/>
              </w:rPr>
            </w:pPr>
          </w:p>
        </w:tc>
        <w:tc>
          <w:tcPr>
            <w:tcW w:w="366" w:type="dxa"/>
            <w:tcBorders>
              <w:top w:val="nil"/>
              <w:bottom w:val="nil"/>
            </w:tcBorders>
          </w:tcPr>
          <w:p w:rsidR="005D6B1C" w:rsidRDefault="005D6B1C">
            <w:pPr>
              <w:pBdr>
                <w:top w:val="nil"/>
                <w:left w:val="nil"/>
                <w:bottom w:val="nil"/>
                <w:right w:val="nil"/>
                <w:between w:val="nil"/>
              </w:pBdr>
              <w:spacing w:after="200" w:line="276" w:lineRule="auto"/>
              <w:rPr>
                <w:color w:val="000000"/>
              </w:rPr>
            </w:pPr>
          </w:p>
        </w:tc>
      </w:tr>
      <w:tr w:rsidR="005D6B1C" w:rsidTr="005D6B1C">
        <w:tc>
          <w:tcPr>
            <w:tcW w:w="366" w:type="dxa"/>
            <w:tcBorders>
              <w:top w:val="nil"/>
            </w:tcBorders>
          </w:tcPr>
          <w:p w:rsidR="005D6B1C" w:rsidRDefault="005D6B1C"/>
        </w:tc>
        <w:tc>
          <w:tcPr>
            <w:tcW w:w="3948" w:type="dxa"/>
            <w:tcBorders>
              <w:top w:val="nil"/>
            </w:tcBorders>
          </w:tcPr>
          <w:p w:rsidR="005D6B1C" w:rsidRDefault="000B2678">
            <w:pPr>
              <w:pBdr>
                <w:top w:val="nil"/>
                <w:left w:val="nil"/>
                <w:bottom w:val="nil"/>
                <w:right w:val="nil"/>
                <w:between w:val="nil"/>
              </w:pBdr>
              <w:spacing w:after="200" w:line="276" w:lineRule="auto"/>
              <w:rPr>
                <w:color w:val="000000"/>
              </w:rPr>
            </w:pPr>
            <w:r>
              <w:rPr>
                <w:color w:val="000000"/>
              </w:rPr>
              <w:t xml:space="preserve">Average </w:t>
            </w:r>
            <w:proofErr w:type="spellStart"/>
            <w:r>
              <w:rPr>
                <w:color w:val="000000"/>
              </w:rPr>
              <w:t>bup</w:t>
            </w:r>
            <w:proofErr w:type="spellEnd"/>
            <w:r>
              <w:rPr>
                <w:color w:val="000000"/>
              </w:rPr>
              <w:t>/NX dosage after to taper</w:t>
            </w:r>
          </w:p>
        </w:tc>
        <w:tc>
          <w:tcPr>
            <w:tcW w:w="2218" w:type="dxa"/>
            <w:tcBorders>
              <w:top w:val="nil"/>
            </w:tcBorders>
          </w:tcPr>
          <w:p w:rsidR="005D6B1C" w:rsidRDefault="000B2678">
            <w:pPr>
              <w:pBdr>
                <w:top w:val="nil"/>
                <w:left w:val="nil"/>
                <w:bottom w:val="nil"/>
                <w:right w:val="nil"/>
                <w:between w:val="nil"/>
              </w:pBdr>
              <w:spacing w:after="200" w:line="276" w:lineRule="auto"/>
              <w:jc w:val="right"/>
              <w:rPr>
                <w:color w:val="000000"/>
              </w:rPr>
            </w:pPr>
            <w:r>
              <w:rPr>
                <w:color w:val="000000"/>
              </w:rPr>
              <w:t>5.4 mg</w:t>
            </w:r>
          </w:p>
        </w:tc>
        <w:tc>
          <w:tcPr>
            <w:tcW w:w="366" w:type="dxa"/>
            <w:tcBorders>
              <w:top w:val="nil"/>
            </w:tcBorders>
          </w:tcPr>
          <w:p w:rsidR="005D6B1C" w:rsidRDefault="005D6B1C">
            <w:pPr>
              <w:pBdr>
                <w:top w:val="nil"/>
                <w:left w:val="nil"/>
                <w:bottom w:val="nil"/>
                <w:right w:val="nil"/>
                <w:between w:val="nil"/>
              </w:pBdr>
              <w:spacing w:after="200" w:line="276" w:lineRule="auto"/>
              <w:rPr>
                <w:color w:val="000000"/>
              </w:rPr>
            </w:pPr>
          </w:p>
        </w:tc>
      </w:tr>
      <w:tr w:rsidR="005D6B1C">
        <w:tc>
          <w:tcPr>
            <w:tcW w:w="366" w:type="dxa"/>
          </w:tcPr>
          <w:p w:rsidR="005D6B1C" w:rsidRDefault="005D6B1C"/>
        </w:tc>
        <w:tc>
          <w:tcPr>
            <w:tcW w:w="3948" w:type="dxa"/>
          </w:tcPr>
          <w:p w:rsidR="005D6B1C" w:rsidRDefault="000B2678">
            <w:pPr>
              <w:pBdr>
                <w:top w:val="nil"/>
                <w:left w:val="nil"/>
                <w:bottom w:val="nil"/>
                <w:right w:val="nil"/>
                <w:between w:val="nil"/>
              </w:pBdr>
              <w:spacing w:after="200" w:line="276" w:lineRule="auto"/>
              <w:rPr>
                <w:color w:val="000000"/>
              </w:rPr>
            </w:pPr>
            <w:r>
              <w:rPr>
                <w:color w:val="000000"/>
              </w:rPr>
              <w:t xml:space="preserve">Median </w:t>
            </w:r>
            <w:proofErr w:type="spellStart"/>
            <w:r>
              <w:rPr>
                <w:color w:val="000000"/>
              </w:rPr>
              <w:t>bup</w:t>
            </w:r>
            <w:proofErr w:type="spellEnd"/>
            <w:r>
              <w:rPr>
                <w:color w:val="000000"/>
              </w:rPr>
              <w:t>/NX dosage after to taper</w:t>
            </w:r>
          </w:p>
        </w:tc>
        <w:tc>
          <w:tcPr>
            <w:tcW w:w="2218" w:type="dxa"/>
          </w:tcPr>
          <w:p w:rsidR="005D6B1C" w:rsidRDefault="000B2678">
            <w:pPr>
              <w:pBdr>
                <w:top w:val="nil"/>
                <w:left w:val="nil"/>
                <w:bottom w:val="nil"/>
                <w:right w:val="nil"/>
                <w:between w:val="nil"/>
              </w:pBdr>
              <w:spacing w:after="200" w:line="276" w:lineRule="auto"/>
              <w:jc w:val="right"/>
              <w:rPr>
                <w:color w:val="000000"/>
              </w:rPr>
            </w:pPr>
            <w:r>
              <w:rPr>
                <w:color w:val="000000"/>
              </w:rPr>
              <w:t>5.5mg</w:t>
            </w:r>
          </w:p>
        </w:tc>
        <w:tc>
          <w:tcPr>
            <w:tcW w:w="366" w:type="dxa"/>
          </w:tcPr>
          <w:p w:rsidR="005D6B1C" w:rsidRDefault="005D6B1C">
            <w:pPr>
              <w:pBdr>
                <w:top w:val="nil"/>
                <w:left w:val="nil"/>
                <w:bottom w:val="nil"/>
                <w:right w:val="nil"/>
                <w:between w:val="nil"/>
              </w:pBdr>
              <w:spacing w:after="200" w:line="276" w:lineRule="auto"/>
              <w:rPr>
                <w:color w:val="000000"/>
              </w:rPr>
            </w:pPr>
          </w:p>
        </w:tc>
      </w:tr>
      <w:tr w:rsidR="005D6B1C">
        <w:tc>
          <w:tcPr>
            <w:tcW w:w="366" w:type="dxa"/>
          </w:tcPr>
          <w:p w:rsidR="005D6B1C" w:rsidRDefault="005D6B1C"/>
        </w:tc>
        <w:tc>
          <w:tcPr>
            <w:tcW w:w="3948" w:type="dxa"/>
          </w:tcPr>
          <w:p w:rsidR="005D6B1C" w:rsidRDefault="000B2678">
            <w:pPr>
              <w:pBdr>
                <w:top w:val="nil"/>
                <w:left w:val="nil"/>
                <w:bottom w:val="nil"/>
                <w:right w:val="nil"/>
                <w:between w:val="nil"/>
              </w:pBdr>
              <w:spacing w:after="200" w:line="276" w:lineRule="auto"/>
              <w:rPr>
                <w:color w:val="000000"/>
              </w:rPr>
            </w:pPr>
            <w:r>
              <w:rPr>
                <w:color w:val="000000"/>
              </w:rPr>
              <w:t>Range of dosages</w:t>
            </w:r>
          </w:p>
        </w:tc>
        <w:tc>
          <w:tcPr>
            <w:tcW w:w="2218" w:type="dxa"/>
          </w:tcPr>
          <w:p w:rsidR="005D6B1C" w:rsidRDefault="000B2678">
            <w:pPr>
              <w:pBdr>
                <w:top w:val="nil"/>
                <w:left w:val="nil"/>
                <w:bottom w:val="nil"/>
                <w:right w:val="nil"/>
                <w:between w:val="nil"/>
              </w:pBdr>
              <w:spacing w:after="200" w:line="276" w:lineRule="auto"/>
              <w:jc w:val="right"/>
              <w:rPr>
                <w:color w:val="000000"/>
              </w:rPr>
            </w:pPr>
            <w:r>
              <w:rPr>
                <w:color w:val="000000"/>
              </w:rPr>
              <w:t>0mg – 12 mg</w:t>
            </w:r>
          </w:p>
        </w:tc>
        <w:tc>
          <w:tcPr>
            <w:tcW w:w="366" w:type="dxa"/>
          </w:tcPr>
          <w:p w:rsidR="005D6B1C" w:rsidRDefault="005D6B1C">
            <w:pPr>
              <w:pBdr>
                <w:top w:val="nil"/>
                <w:left w:val="nil"/>
                <w:bottom w:val="nil"/>
                <w:right w:val="nil"/>
                <w:between w:val="nil"/>
              </w:pBdr>
              <w:spacing w:after="200" w:line="276" w:lineRule="auto"/>
              <w:rPr>
                <w:color w:val="000000"/>
              </w:rPr>
            </w:pPr>
          </w:p>
        </w:tc>
      </w:tr>
      <w:tr w:rsidR="005D6B1C">
        <w:tc>
          <w:tcPr>
            <w:tcW w:w="366" w:type="dxa"/>
          </w:tcPr>
          <w:p w:rsidR="005D6B1C" w:rsidRDefault="005D6B1C"/>
        </w:tc>
        <w:tc>
          <w:tcPr>
            <w:tcW w:w="3948" w:type="dxa"/>
          </w:tcPr>
          <w:p w:rsidR="005D6B1C" w:rsidRDefault="005D6B1C">
            <w:pPr>
              <w:pBdr>
                <w:top w:val="nil"/>
                <w:left w:val="nil"/>
                <w:bottom w:val="nil"/>
                <w:right w:val="nil"/>
                <w:between w:val="nil"/>
              </w:pBdr>
              <w:spacing w:after="200" w:line="276" w:lineRule="auto"/>
              <w:rPr>
                <w:color w:val="000000"/>
              </w:rPr>
            </w:pPr>
          </w:p>
        </w:tc>
        <w:tc>
          <w:tcPr>
            <w:tcW w:w="2218" w:type="dxa"/>
          </w:tcPr>
          <w:p w:rsidR="005D6B1C" w:rsidRDefault="005D6B1C">
            <w:pPr>
              <w:pBdr>
                <w:top w:val="nil"/>
                <w:left w:val="nil"/>
                <w:bottom w:val="nil"/>
                <w:right w:val="nil"/>
                <w:between w:val="nil"/>
              </w:pBdr>
              <w:spacing w:after="200" w:line="276" w:lineRule="auto"/>
              <w:jc w:val="right"/>
              <w:rPr>
                <w:color w:val="000000"/>
              </w:rPr>
            </w:pPr>
          </w:p>
        </w:tc>
        <w:tc>
          <w:tcPr>
            <w:tcW w:w="366" w:type="dxa"/>
          </w:tcPr>
          <w:p w:rsidR="005D6B1C" w:rsidRDefault="005D6B1C">
            <w:pPr>
              <w:pBdr>
                <w:top w:val="nil"/>
                <w:left w:val="nil"/>
                <w:bottom w:val="nil"/>
                <w:right w:val="nil"/>
                <w:between w:val="nil"/>
              </w:pBdr>
              <w:spacing w:after="200" w:line="276" w:lineRule="auto"/>
              <w:rPr>
                <w:color w:val="000000"/>
              </w:rPr>
            </w:pPr>
          </w:p>
        </w:tc>
      </w:tr>
    </w:tbl>
    <w:p w:rsidR="005D6B1C" w:rsidRDefault="005D6B1C"/>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5D6B1C">
      <w:pPr>
        <w:spacing w:line="240" w:lineRule="auto"/>
        <w:rPr>
          <w:b/>
          <w:color w:val="222222"/>
          <w:sz w:val="20"/>
          <w:szCs w:val="20"/>
          <w:highlight w:val="white"/>
        </w:rPr>
      </w:pPr>
    </w:p>
    <w:p w:rsidR="005D6B1C" w:rsidRDefault="000B2678">
      <w:pPr>
        <w:keepNext/>
        <w:pBdr>
          <w:top w:val="nil"/>
          <w:left w:val="nil"/>
          <w:bottom w:val="nil"/>
          <w:right w:val="nil"/>
          <w:between w:val="nil"/>
        </w:pBdr>
        <w:spacing w:after="200" w:line="240" w:lineRule="auto"/>
        <w:jc w:val="center"/>
        <w:rPr>
          <w:b/>
          <w:color w:val="4F81BD"/>
          <w:sz w:val="18"/>
          <w:szCs w:val="18"/>
        </w:rPr>
      </w:pPr>
      <w:r>
        <w:rPr>
          <w:b/>
          <w:color w:val="4F81BD"/>
          <w:sz w:val="18"/>
          <w:szCs w:val="18"/>
        </w:rPr>
        <w:t>Dosage data of patients agreeing to taper</w:t>
      </w:r>
    </w:p>
    <w:p w:rsidR="005D6B1C" w:rsidRDefault="000B2678">
      <w:pPr>
        <w:spacing w:line="240" w:lineRule="auto"/>
        <w:rPr>
          <w:b/>
          <w:color w:val="222222"/>
          <w:sz w:val="20"/>
          <w:szCs w:val="20"/>
          <w:highlight w:val="white"/>
        </w:rPr>
      </w:pPr>
      <w:bookmarkStart w:id="2" w:name="_30j0zll" w:colFirst="0" w:colLast="0"/>
      <w:bookmarkEnd w:id="2"/>
      <w:r>
        <w:rPr>
          <w:b/>
          <w:noProof/>
          <w:color w:val="222222"/>
          <w:sz w:val="20"/>
          <w:szCs w:val="20"/>
          <w:lang w:val="en-US"/>
        </w:rPr>
        <w:drawing>
          <wp:inline distT="0" distB="0" distL="0" distR="0">
            <wp:extent cx="5486400" cy="3200400"/>
            <wp:effectExtent l="0" t="0" r="19050" b="19050"/>
            <wp:docPr id="312" name="Chart 3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D6B1C" w:rsidRDefault="005D6B1C">
      <w:pPr>
        <w:spacing w:line="240" w:lineRule="auto"/>
        <w:rPr>
          <w:b/>
          <w:color w:val="222222"/>
          <w:sz w:val="20"/>
          <w:szCs w:val="20"/>
          <w:highlight w:val="white"/>
        </w:rPr>
      </w:pPr>
    </w:p>
    <w:p w:rsidR="005D6B1C" w:rsidRDefault="000B2678">
      <w:pPr>
        <w:keepNext/>
        <w:pBdr>
          <w:top w:val="nil"/>
          <w:left w:val="nil"/>
          <w:bottom w:val="nil"/>
          <w:right w:val="nil"/>
          <w:between w:val="nil"/>
        </w:pBdr>
        <w:spacing w:after="200" w:line="240" w:lineRule="auto"/>
        <w:jc w:val="center"/>
        <w:rPr>
          <w:b/>
          <w:color w:val="000000"/>
          <w:sz w:val="18"/>
          <w:szCs w:val="18"/>
          <w:u w:val="single"/>
        </w:rPr>
      </w:pPr>
      <w:r>
        <w:rPr>
          <w:b/>
          <w:color w:val="000000"/>
          <w:sz w:val="18"/>
          <w:szCs w:val="18"/>
          <w:u w:val="single"/>
        </w:rPr>
        <w:lastRenderedPageBreak/>
        <w:t>Well-Being Satisfaction Scores</w:t>
      </w:r>
    </w:p>
    <w:p w:rsidR="005D6B1C" w:rsidRDefault="000B2678">
      <w:pPr>
        <w:spacing w:line="240" w:lineRule="auto"/>
        <w:rPr>
          <w:b/>
          <w:color w:val="222222"/>
          <w:sz w:val="20"/>
          <w:szCs w:val="20"/>
          <w:highlight w:val="white"/>
        </w:rPr>
      </w:pPr>
      <w:r>
        <w:rPr>
          <w:b/>
          <w:noProof/>
          <w:color w:val="222222"/>
          <w:sz w:val="20"/>
          <w:szCs w:val="20"/>
          <w:lang w:val="en-US"/>
        </w:rPr>
        <w:drawing>
          <wp:inline distT="0" distB="0" distL="0" distR="0">
            <wp:extent cx="5543550" cy="3629025"/>
            <wp:effectExtent l="0" t="0" r="19050" b="9525"/>
            <wp:docPr id="308" name="Chart 30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lang w:val="en-US"/>
        </w:rPr>
        <mc:AlternateContent>
          <mc:Choice Requires="wps">
            <w:drawing>
              <wp:anchor distT="0" distB="0" distL="114300" distR="114300" simplePos="0" relativeHeight="251658240" behindDoc="0" locked="0" layoutInCell="1" hidden="0" allowOverlap="1">
                <wp:simplePos x="0" y="0"/>
                <wp:positionH relativeFrom="margin">
                  <wp:posOffset>419100</wp:posOffset>
                </wp:positionH>
                <wp:positionV relativeFrom="paragraph">
                  <wp:posOffset>1562100</wp:posOffset>
                </wp:positionV>
                <wp:extent cx="809625" cy="333375"/>
                <wp:effectExtent l="0" t="0" r="28575" b="28575"/>
                <wp:wrapNone/>
                <wp:docPr id="311"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33375"/>
                        </a:xfrm>
                        <a:prstGeom prst="rect">
                          <a:avLst/>
                        </a:prstGeom>
                        <a:solidFill>
                          <a:srgbClr val="FFFFFF"/>
                        </a:solidFill>
                        <a:ln w="9525">
                          <a:solidFill>
                            <a:srgbClr val="000000"/>
                          </a:solidFill>
                          <a:miter lim="800000"/>
                          <a:headEnd/>
                          <a:tailEnd/>
                        </a:ln>
                      </wps:spPr>
                      <wps:txbx>
                        <w:txbxContent>
                          <w:p w:rsidR="00226E9C" w:rsidRPr="00226E9C" w:rsidRDefault="000B2678">
                            <w:pPr>
                              <w:rPr>
                                <w:sz w:val="16"/>
                                <w:szCs w:val="16"/>
                              </w:rPr>
                            </w:pPr>
                            <w:r w:rsidRPr="00226E9C">
                              <w:rPr>
                                <w:sz w:val="16"/>
                                <w:szCs w:val="16"/>
                              </w:rPr>
                              <w:t>p = 0.287</w:t>
                            </w:r>
                          </w:p>
                          <w:p w:rsidR="00226E9C" w:rsidRPr="00226E9C" w:rsidRDefault="000B2678">
                            <w:pPr>
                              <w:rPr>
                                <w:sz w:val="16"/>
                                <w:szCs w:val="16"/>
                              </w:rPr>
                            </w:pPr>
                            <w:r w:rsidRPr="00226E9C">
                              <w:rPr>
                                <w:sz w:val="16"/>
                                <w:szCs w:val="16"/>
                              </w:rPr>
                              <w:t>t = 0.5648</w:t>
                            </w:r>
                          </w:p>
                        </w:txbxContent>
                      </wps:txbx>
                      <wps:bodyPr rot="0" vert="horz" wrap="square" lIns="91440" tIns="45720" rIns="91440" bIns="45720" anchor="t" anchorCtr="0">
                        <a:no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margin">
                  <wp:posOffset>419100</wp:posOffset>
                </wp:positionH>
                <wp:positionV relativeFrom="paragraph">
                  <wp:posOffset>1562100</wp:posOffset>
                </wp:positionV>
                <wp:extent cx="838200" cy="361950"/>
                <wp:effectExtent b="0" l="0" r="0" t="0"/>
                <wp:wrapNone/>
                <wp:docPr id="311"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838200" cy="361950"/>
                        </a:xfrm>
                        <a:prstGeom prst="rect"/>
                        <a:ln/>
                      </pic:spPr>
                    </pic:pic>
                  </a:graphicData>
                </a:graphic>
              </wp:anchor>
            </w:drawing>
          </mc:Fallback>
        </mc:AlternateContent>
      </w:r>
      <w:r>
        <w:rPr>
          <w:noProof/>
          <w:lang w:val="en-US"/>
        </w:rPr>
        <mc:AlternateContent>
          <mc:Choice Requires="wps">
            <w:drawing>
              <wp:anchor distT="0" distB="0" distL="114300" distR="114300" simplePos="0" relativeHeight="251659264" behindDoc="0" locked="0" layoutInCell="1" hidden="0" allowOverlap="1">
                <wp:simplePos x="0" y="0"/>
                <wp:positionH relativeFrom="margin">
                  <wp:posOffset>2057400</wp:posOffset>
                </wp:positionH>
                <wp:positionV relativeFrom="paragraph">
                  <wp:posOffset>161925</wp:posOffset>
                </wp:positionV>
                <wp:extent cx="742950" cy="400050"/>
                <wp:effectExtent l="0" t="0" r="19050" b="19050"/>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400050"/>
                        </a:xfrm>
                        <a:prstGeom prst="rect">
                          <a:avLst/>
                        </a:prstGeom>
                        <a:solidFill>
                          <a:srgbClr val="FFFFFF"/>
                        </a:solidFill>
                        <a:ln w="9525">
                          <a:solidFill>
                            <a:srgbClr val="000000"/>
                          </a:solidFill>
                          <a:miter lim="800000"/>
                          <a:headEnd/>
                          <a:tailEnd/>
                        </a:ln>
                      </wps:spPr>
                      <wps:txbx>
                        <w:txbxContent>
                          <w:p w:rsidR="00226E9C" w:rsidRDefault="000B2678">
                            <w:pPr>
                              <w:rPr>
                                <w:sz w:val="16"/>
                                <w:szCs w:val="16"/>
                              </w:rPr>
                            </w:pPr>
                            <w:r>
                              <w:rPr>
                                <w:sz w:val="16"/>
                                <w:szCs w:val="16"/>
                              </w:rPr>
                              <w:t>p = 0.253</w:t>
                            </w:r>
                          </w:p>
                          <w:p w:rsidR="00226E9C" w:rsidRPr="00226E9C" w:rsidRDefault="000B2678">
                            <w:pPr>
                              <w:rPr>
                                <w:sz w:val="16"/>
                                <w:szCs w:val="16"/>
                              </w:rPr>
                            </w:pPr>
                            <w:r>
                              <w:rPr>
                                <w:sz w:val="16"/>
                                <w:szCs w:val="16"/>
                              </w:rPr>
                              <w:t>t = 0.668</w:t>
                            </w:r>
                          </w:p>
                        </w:txbxContent>
                      </wps:txbx>
                      <wps:bodyPr rot="0" vert="horz" wrap="square" lIns="91440" tIns="45720" rIns="91440" bIns="45720" anchor="t" anchorCtr="0">
                        <a:no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margin">
                  <wp:posOffset>2057400</wp:posOffset>
                </wp:positionH>
                <wp:positionV relativeFrom="paragraph">
                  <wp:posOffset>161925</wp:posOffset>
                </wp:positionV>
                <wp:extent cx="762000" cy="419100"/>
                <wp:effectExtent b="0" l="0" r="0" t="0"/>
                <wp:wrapNone/>
                <wp:docPr id="309"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762000" cy="419100"/>
                        </a:xfrm>
                        <a:prstGeom prst="rect"/>
                        <a:ln/>
                      </pic:spPr>
                    </pic:pic>
                  </a:graphicData>
                </a:graphic>
              </wp:anchor>
            </w:drawing>
          </mc:Fallback>
        </mc:AlternateContent>
      </w:r>
    </w:p>
    <w:p w:rsidR="005D6B1C" w:rsidRDefault="005D6B1C">
      <w:pPr>
        <w:spacing w:line="240" w:lineRule="auto"/>
        <w:rPr>
          <w:b/>
          <w:color w:val="222222"/>
          <w:sz w:val="20"/>
          <w:szCs w:val="20"/>
          <w:highlight w:val="white"/>
        </w:rPr>
      </w:pPr>
    </w:p>
    <w:p w:rsidR="005D6B1C" w:rsidRDefault="005D6B1C">
      <w:pPr>
        <w:spacing w:line="240" w:lineRule="auto"/>
        <w:rPr>
          <w:color w:val="222222"/>
          <w:sz w:val="20"/>
          <w:szCs w:val="20"/>
          <w:highlight w:val="white"/>
        </w:rPr>
      </w:pPr>
    </w:p>
    <w:p w:rsidR="005D6B1C" w:rsidRDefault="005D6B1C">
      <w:pPr>
        <w:spacing w:line="240" w:lineRule="auto"/>
        <w:rPr>
          <w:color w:val="222222"/>
          <w:sz w:val="20"/>
          <w:szCs w:val="20"/>
          <w:highlight w:val="white"/>
        </w:rPr>
      </w:pPr>
    </w:p>
    <w:p w:rsidR="005D6B1C" w:rsidRDefault="000B2678">
      <w:pPr>
        <w:spacing w:line="240" w:lineRule="auto"/>
        <w:rPr>
          <w:b/>
          <w:color w:val="222222"/>
          <w:sz w:val="20"/>
          <w:szCs w:val="20"/>
          <w:highlight w:val="white"/>
          <w:u w:val="single"/>
        </w:rPr>
      </w:pPr>
      <w:r>
        <w:rPr>
          <w:color w:val="222222"/>
          <w:sz w:val="20"/>
          <w:szCs w:val="20"/>
          <w:highlight w:val="white"/>
        </w:rPr>
        <w:br/>
      </w:r>
      <w:r>
        <w:rPr>
          <w:b/>
          <w:color w:val="222222"/>
          <w:sz w:val="20"/>
          <w:szCs w:val="20"/>
          <w:highlight w:val="white"/>
          <w:u w:val="single"/>
        </w:rPr>
        <w:t>Conclusions:</w:t>
      </w:r>
    </w:p>
    <w:p w:rsidR="005D6B1C" w:rsidRDefault="000B2678">
      <w:pPr>
        <w:spacing w:line="240" w:lineRule="auto"/>
        <w:rPr>
          <w:b/>
          <w:sz w:val="20"/>
          <w:szCs w:val="20"/>
          <w:u w:val="single"/>
        </w:rPr>
      </w:pPr>
      <w:r>
        <w:rPr>
          <w:color w:val="222222"/>
          <w:sz w:val="20"/>
          <w:szCs w:val="20"/>
          <w:highlight w:val="white"/>
        </w:rPr>
        <w:t xml:space="preserve">Patients in sustained full remission, two or more years enrolled in a comprehensive sobriety support program combined with </w:t>
      </w:r>
      <w:proofErr w:type="spellStart"/>
      <w:r>
        <w:rPr>
          <w:color w:val="222222"/>
          <w:sz w:val="20"/>
          <w:szCs w:val="20"/>
          <w:highlight w:val="white"/>
        </w:rPr>
        <w:t>bup</w:t>
      </w:r>
      <w:proofErr w:type="spellEnd"/>
      <w:r>
        <w:rPr>
          <w:color w:val="222222"/>
          <w:sz w:val="20"/>
          <w:szCs w:val="20"/>
          <w:highlight w:val="white"/>
        </w:rPr>
        <w:t xml:space="preserve">/NX MAT, can be safely screened for their willingness to very gradually reduce their </w:t>
      </w:r>
      <w:proofErr w:type="spellStart"/>
      <w:r>
        <w:rPr>
          <w:color w:val="222222"/>
          <w:sz w:val="20"/>
          <w:szCs w:val="20"/>
          <w:highlight w:val="white"/>
        </w:rPr>
        <w:t>bup</w:t>
      </w:r>
      <w:proofErr w:type="spellEnd"/>
      <w:r>
        <w:rPr>
          <w:color w:val="222222"/>
          <w:sz w:val="20"/>
          <w:szCs w:val="20"/>
          <w:highlight w:val="white"/>
        </w:rPr>
        <w:t xml:space="preserve">/NX dosage. In motivated patients, </w:t>
      </w:r>
      <w:proofErr w:type="gramStart"/>
      <w:r>
        <w:rPr>
          <w:color w:val="222222"/>
          <w:sz w:val="20"/>
          <w:szCs w:val="20"/>
          <w:highlight w:val="white"/>
        </w:rPr>
        <w:t>gradual</w:t>
      </w:r>
      <w:r>
        <w:rPr>
          <w:color w:val="222222"/>
          <w:sz w:val="20"/>
          <w:szCs w:val="20"/>
          <w:highlight w:val="white"/>
        </w:rPr>
        <w:t xml:space="preserve"> dose reductions in the range of 1-2 mg Q3 months appears</w:t>
      </w:r>
      <w:proofErr w:type="gramEnd"/>
      <w:r>
        <w:rPr>
          <w:color w:val="222222"/>
          <w:sz w:val="20"/>
          <w:szCs w:val="20"/>
          <w:highlight w:val="white"/>
        </w:rPr>
        <w:t xml:space="preserve"> to be safe and well tolerated. The act of screening patients on long term stable MAT regarding a possible gradual tapering of dose often results in patient agreement to participate in a taper attemp</w:t>
      </w:r>
      <w:r>
        <w:rPr>
          <w:color w:val="222222"/>
          <w:sz w:val="20"/>
          <w:szCs w:val="20"/>
          <w:highlight w:val="white"/>
        </w:rPr>
        <w:t>t. The efficacy of dose adjustment in long term stable patients in MAT as measured by patient satisfaction, withdrawal, and cravings is safe and well tolerated. There was no appreciable difference in wellbeing satisfaction in patients who agree to dose adj</w:t>
      </w:r>
      <w:r>
        <w:rPr>
          <w:color w:val="222222"/>
          <w:sz w:val="20"/>
          <w:szCs w:val="20"/>
          <w:highlight w:val="white"/>
        </w:rPr>
        <w:t>ustments</w:t>
      </w:r>
      <w:r>
        <w:rPr>
          <w:color w:val="222222"/>
          <w:sz w:val="20"/>
          <w:szCs w:val="20"/>
        </w:rPr>
        <w:t xml:space="preserve"> verses those who did not agree. In stable patients on MAT, discussion of dose adjustments and gradual dose tapering can be considered and in our experience was welcomed by almost half of the patients in our clinic.  </w:t>
      </w:r>
      <w:r>
        <w:rPr>
          <w:color w:val="222222"/>
          <w:sz w:val="20"/>
          <w:szCs w:val="20"/>
        </w:rPr>
        <w:br/>
      </w:r>
      <w:r>
        <w:rPr>
          <w:color w:val="222222"/>
          <w:sz w:val="20"/>
          <w:szCs w:val="20"/>
          <w:highlight w:val="white"/>
        </w:rPr>
        <w:br/>
      </w:r>
      <w:r>
        <w:rPr>
          <w:b/>
          <w:sz w:val="20"/>
          <w:szCs w:val="20"/>
          <w:u w:val="single"/>
        </w:rPr>
        <w:t>References:</w:t>
      </w:r>
    </w:p>
    <w:p w:rsidR="005D6B1C" w:rsidRDefault="005D6B1C">
      <w:pPr>
        <w:spacing w:line="240" w:lineRule="auto"/>
        <w:rPr>
          <w:b/>
          <w:sz w:val="20"/>
          <w:szCs w:val="20"/>
          <w:u w:val="single"/>
        </w:rPr>
      </w:pPr>
    </w:p>
    <w:p w:rsidR="005D6B1C" w:rsidRDefault="000B2678">
      <w:pPr>
        <w:numPr>
          <w:ilvl w:val="0"/>
          <w:numId w:val="1"/>
        </w:numPr>
        <w:spacing w:line="240" w:lineRule="auto"/>
        <w:rPr>
          <w:sz w:val="20"/>
          <w:szCs w:val="20"/>
        </w:rPr>
      </w:pPr>
      <w:r>
        <w:rPr>
          <w:sz w:val="20"/>
          <w:szCs w:val="20"/>
        </w:rPr>
        <w:t>Access to and Pa</w:t>
      </w:r>
      <w:r>
        <w:rPr>
          <w:sz w:val="20"/>
          <w:szCs w:val="20"/>
        </w:rPr>
        <w:t xml:space="preserve">yment for Office-Based Buprenorphine Treatment in Ohio. </w:t>
      </w:r>
      <w:proofErr w:type="spellStart"/>
      <w:r>
        <w:rPr>
          <w:sz w:val="20"/>
          <w:szCs w:val="20"/>
        </w:rPr>
        <w:t>Parran</w:t>
      </w:r>
      <w:proofErr w:type="spellEnd"/>
      <w:r>
        <w:rPr>
          <w:sz w:val="20"/>
          <w:szCs w:val="20"/>
        </w:rPr>
        <w:t xml:space="preserve"> TV,  Muller JZ, </w:t>
      </w:r>
      <w:proofErr w:type="spellStart"/>
      <w:r>
        <w:rPr>
          <w:sz w:val="20"/>
          <w:szCs w:val="20"/>
        </w:rPr>
        <w:t>Chernyak</w:t>
      </w:r>
      <w:proofErr w:type="spellEnd"/>
      <w:r>
        <w:rPr>
          <w:sz w:val="20"/>
          <w:szCs w:val="20"/>
        </w:rPr>
        <w:t xml:space="preserve"> E, Adelman C, Delos Reyes CM, Rowland D, </w:t>
      </w:r>
      <w:proofErr w:type="spellStart"/>
      <w:r>
        <w:rPr>
          <w:sz w:val="20"/>
          <w:szCs w:val="20"/>
        </w:rPr>
        <w:t>Kolganov</w:t>
      </w:r>
      <w:proofErr w:type="spellEnd"/>
      <w:r>
        <w:rPr>
          <w:sz w:val="20"/>
          <w:szCs w:val="20"/>
        </w:rPr>
        <w:t xml:space="preserve"> M. </w:t>
      </w:r>
      <w:proofErr w:type="spellStart"/>
      <w:r>
        <w:rPr>
          <w:sz w:val="20"/>
          <w:szCs w:val="20"/>
        </w:rPr>
        <w:t>Subst</w:t>
      </w:r>
      <w:proofErr w:type="spellEnd"/>
      <w:r>
        <w:rPr>
          <w:sz w:val="20"/>
          <w:szCs w:val="20"/>
        </w:rPr>
        <w:t xml:space="preserve"> Abuse. 2017 Jun 13</w:t>
      </w:r>
      <w:proofErr w:type="gramStart"/>
      <w:r>
        <w:rPr>
          <w:sz w:val="20"/>
          <w:szCs w:val="20"/>
        </w:rPr>
        <w:t>;11:1178221817699247</w:t>
      </w:r>
      <w:proofErr w:type="gramEnd"/>
      <w:r>
        <w:rPr>
          <w:sz w:val="20"/>
          <w:szCs w:val="20"/>
        </w:rPr>
        <w:t xml:space="preserve">. </w:t>
      </w:r>
      <w:proofErr w:type="spellStart"/>
      <w:proofErr w:type="gramStart"/>
      <w:r>
        <w:rPr>
          <w:sz w:val="20"/>
          <w:szCs w:val="20"/>
        </w:rPr>
        <w:t>doi</w:t>
      </w:r>
      <w:proofErr w:type="spellEnd"/>
      <w:proofErr w:type="gramEnd"/>
      <w:r>
        <w:rPr>
          <w:sz w:val="20"/>
          <w:szCs w:val="20"/>
        </w:rPr>
        <w:t xml:space="preserve">: 10.1177/1178221817699247. </w:t>
      </w:r>
    </w:p>
    <w:p w:rsidR="005D6B1C" w:rsidRDefault="005D6B1C">
      <w:pPr>
        <w:spacing w:line="240" w:lineRule="auto"/>
        <w:rPr>
          <w:sz w:val="20"/>
          <w:szCs w:val="20"/>
        </w:rPr>
      </w:pPr>
    </w:p>
    <w:p w:rsidR="005D6B1C" w:rsidRDefault="000B2678">
      <w:pPr>
        <w:numPr>
          <w:ilvl w:val="0"/>
          <w:numId w:val="1"/>
        </w:numPr>
        <w:spacing w:line="240" w:lineRule="auto"/>
        <w:rPr>
          <w:sz w:val="20"/>
          <w:szCs w:val="20"/>
        </w:rPr>
      </w:pPr>
      <w:r>
        <w:rPr>
          <w:sz w:val="20"/>
          <w:szCs w:val="20"/>
        </w:rPr>
        <w:t xml:space="preserve">A randomized trial to evaluate primary care clinician training to use the Teachable Moment Communication Process for smoking cessation counseling. </w:t>
      </w:r>
      <w:proofErr w:type="spellStart"/>
      <w:r>
        <w:rPr>
          <w:sz w:val="20"/>
          <w:szCs w:val="20"/>
        </w:rPr>
        <w:t>Flocke</w:t>
      </w:r>
      <w:proofErr w:type="spellEnd"/>
      <w:r>
        <w:rPr>
          <w:sz w:val="20"/>
          <w:szCs w:val="20"/>
        </w:rPr>
        <w:t xml:space="preserve"> SA, Step MM, </w:t>
      </w:r>
      <w:proofErr w:type="spellStart"/>
      <w:r>
        <w:rPr>
          <w:sz w:val="20"/>
          <w:szCs w:val="20"/>
        </w:rPr>
        <w:t>Antognoli</w:t>
      </w:r>
      <w:proofErr w:type="spellEnd"/>
      <w:r>
        <w:rPr>
          <w:sz w:val="20"/>
          <w:szCs w:val="20"/>
        </w:rPr>
        <w:t xml:space="preserve"> E, Lawson PJ, Smith S, Jackson B, </w:t>
      </w:r>
      <w:proofErr w:type="spellStart"/>
      <w:r>
        <w:rPr>
          <w:sz w:val="20"/>
          <w:szCs w:val="20"/>
        </w:rPr>
        <w:t>Krejci</w:t>
      </w:r>
      <w:proofErr w:type="spellEnd"/>
      <w:r>
        <w:rPr>
          <w:sz w:val="20"/>
          <w:szCs w:val="20"/>
        </w:rPr>
        <w:t xml:space="preserve"> S, </w:t>
      </w:r>
      <w:proofErr w:type="spellStart"/>
      <w:r>
        <w:rPr>
          <w:sz w:val="20"/>
          <w:szCs w:val="20"/>
        </w:rPr>
        <w:t>Parran</w:t>
      </w:r>
      <w:proofErr w:type="spellEnd"/>
      <w:r>
        <w:rPr>
          <w:sz w:val="20"/>
          <w:szCs w:val="20"/>
        </w:rPr>
        <w:t xml:space="preserve"> T, Marsh S. </w:t>
      </w:r>
      <w:proofErr w:type="spellStart"/>
      <w:r>
        <w:rPr>
          <w:sz w:val="20"/>
          <w:szCs w:val="20"/>
        </w:rPr>
        <w:t>Prev</w:t>
      </w:r>
      <w:proofErr w:type="spellEnd"/>
      <w:r>
        <w:rPr>
          <w:sz w:val="20"/>
          <w:szCs w:val="20"/>
        </w:rPr>
        <w:t xml:space="preserve"> Med. 2014 D</w:t>
      </w:r>
      <w:r>
        <w:rPr>
          <w:sz w:val="20"/>
          <w:szCs w:val="20"/>
        </w:rPr>
        <w:t xml:space="preserve">ec;69:267-73. </w:t>
      </w:r>
      <w:proofErr w:type="spellStart"/>
      <w:proofErr w:type="gramStart"/>
      <w:r>
        <w:rPr>
          <w:sz w:val="20"/>
          <w:szCs w:val="20"/>
        </w:rPr>
        <w:t>doi</w:t>
      </w:r>
      <w:proofErr w:type="spellEnd"/>
      <w:proofErr w:type="gramEnd"/>
      <w:r>
        <w:rPr>
          <w:sz w:val="20"/>
          <w:szCs w:val="20"/>
        </w:rPr>
        <w:t xml:space="preserve">: 10.1016/j.ypmed.2014.10.020. </w:t>
      </w:r>
      <w:proofErr w:type="spellStart"/>
      <w:r>
        <w:rPr>
          <w:sz w:val="20"/>
          <w:szCs w:val="20"/>
        </w:rPr>
        <w:t>Epub</w:t>
      </w:r>
      <w:proofErr w:type="spellEnd"/>
      <w:r>
        <w:rPr>
          <w:sz w:val="20"/>
          <w:szCs w:val="20"/>
        </w:rPr>
        <w:t xml:space="preserve"> 2014 Oct 30</w:t>
      </w:r>
    </w:p>
    <w:p w:rsidR="005D6B1C" w:rsidRDefault="005D6B1C">
      <w:pPr>
        <w:spacing w:line="240" w:lineRule="auto"/>
        <w:rPr>
          <w:sz w:val="20"/>
          <w:szCs w:val="20"/>
        </w:rPr>
      </w:pPr>
    </w:p>
    <w:p w:rsidR="005D6B1C" w:rsidRDefault="000B2678">
      <w:pPr>
        <w:numPr>
          <w:ilvl w:val="0"/>
          <w:numId w:val="1"/>
        </w:numPr>
        <w:spacing w:line="240" w:lineRule="auto"/>
        <w:rPr>
          <w:sz w:val="20"/>
          <w:szCs w:val="20"/>
        </w:rPr>
      </w:pPr>
      <w:r>
        <w:rPr>
          <w:sz w:val="20"/>
          <w:szCs w:val="20"/>
        </w:rPr>
        <w:lastRenderedPageBreak/>
        <w:t xml:space="preserve">Long-term outcomes of office-based buprenorphine/naloxone maintenance therapy.  </w:t>
      </w:r>
      <w:proofErr w:type="spellStart"/>
      <w:r>
        <w:rPr>
          <w:sz w:val="20"/>
          <w:szCs w:val="20"/>
        </w:rPr>
        <w:t>Parran</w:t>
      </w:r>
      <w:proofErr w:type="spellEnd"/>
      <w:r>
        <w:rPr>
          <w:sz w:val="20"/>
          <w:szCs w:val="20"/>
        </w:rPr>
        <w:t xml:space="preserve"> TV, Adelman CA, </w:t>
      </w:r>
      <w:proofErr w:type="spellStart"/>
      <w:r>
        <w:rPr>
          <w:sz w:val="20"/>
          <w:szCs w:val="20"/>
        </w:rPr>
        <w:t>Merkin</w:t>
      </w:r>
      <w:proofErr w:type="spellEnd"/>
      <w:r>
        <w:rPr>
          <w:sz w:val="20"/>
          <w:szCs w:val="20"/>
        </w:rPr>
        <w:t xml:space="preserve"> B, Pagano ME, </w:t>
      </w:r>
      <w:proofErr w:type="spellStart"/>
      <w:r>
        <w:rPr>
          <w:sz w:val="20"/>
          <w:szCs w:val="20"/>
        </w:rPr>
        <w:t>Defranco</w:t>
      </w:r>
      <w:proofErr w:type="spellEnd"/>
      <w:r>
        <w:rPr>
          <w:sz w:val="20"/>
          <w:szCs w:val="20"/>
        </w:rPr>
        <w:t xml:space="preserve"> R, </w:t>
      </w:r>
      <w:proofErr w:type="spellStart"/>
      <w:r>
        <w:rPr>
          <w:sz w:val="20"/>
          <w:szCs w:val="20"/>
        </w:rPr>
        <w:t>Ionescu</w:t>
      </w:r>
      <w:proofErr w:type="spellEnd"/>
      <w:r>
        <w:rPr>
          <w:sz w:val="20"/>
          <w:szCs w:val="20"/>
        </w:rPr>
        <w:t xml:space="preserve"> RA, Mace AG. Drug Alcohol Depend. 2010 Jan 1</w:t>
      </w:r>
      <w:proofErr w:type="gramStart"/>
      <w:r>
        <w:rPr>
          <w:sz w:val="20"/>
          <w:szCs w:val="20"/>
        </w:rPr>
        <w:t>;1</w:t>
      </w:r>
      <w:r>
        <w:rPr>
          <w:sz w:val="20"/>
          <w:szCs w:val="20"/>
        </w:rPr>
        <w:t>06</w:t>
      </w:r>
      <w:proofErr w:type="gramEnd"/>
      <w:r>
        <w:rPr>
          <w:sz w:val="20"/>
          <w:szCs w:val="20"/>
        </w:rPr>
        <w:t xml:space="preserve">(1):56-60. </w:t>
      </w:r>
      <w:proofErr w:type="spellStart"/>
      <w:proofErr w:type="gramStart"/>
      <w:r>
        <w:rPr>
          <w:sz w:val="20"/>
          <w:szCs w:val="20"/>
        </w:rPr>
        <w:t>doi</w:t>
      </w:r>
      <w:proofErr w:type="spellEnd"/>
      <w:proofErr w:type="gramEnd"/>
      <w:r>
        <w:rPr>
          <w:sz w:val="20"/>
          <w:szCs w:val="20"/>
        </w:rPr>
        <w:t xml:space="preserve">: 10.1016/j.drugalcdep.2009.07.013. </w:t>
      </w:r>
      <w:proofErr w:type="spellStart"/>
      <w:r>
        <w:rPr>
          <w:sz w:val="20"/>
          <w:szCs w:val="20"/>
        </w:rPr>
        <w:t>Epub</w:t>
      </w:r>
      <w:proofErr w:type="spellEnd"/>
      <w:r>
        <w:rPr>
          <w:sz w:val="20"/>
          <w:szCs w:val="20"/>
        </w:rPr>
        <w:t xml:space="preserve"> 2009 Aug 29</w:t>
      </w:r>
    </w:p>
    <w:p w:rsidR="005D6B1C" w:rsidRDefault="005D6B1C">
      <w:pPr>
        <w:spacing w:line="240" w:lineRule="auto"/>
        <w:rPr>
          <w:sz w:val="20"/>
          <w:szCs w:val="20"/>
        </w:rPr>
      </w:pPr>
    </w:p>
    <w:p w:rsidR="005D6B1C" w:rsidRDefault="000B2678">
      <w:pPr>
        <w:numPr>
          <w:ilvl w:val="0"/>
          <w:numId w:val="1"/>
        </w:numPr>
        <w:spacing w:line="240" w:lineRule="auto"/>
        <w:rPr>
          <w:sz w:val="20"/>
          <w:szCs w:val="20"/>
        </w:rPr>
      </w:pPr>
      <w:proofErr w:type="spellStart"/>
      <w:r>
        <w:rPr>
          <w:sz w:val="20"/>
          <w:szCs w:val="20"/>
        </w:rPr>
        <w:t>Bouchez</w:t>
      </w:r>
      <w:proofErr w:type="spellEnd"/>
      <w:r>
        <w:rPr>
          <w:sz w:val="20"/>
          <w:szCs w:val="20"/>
        </w:rPr>
        <w:t xml:space="preserve"> </w:t>
      </w:r>
      <w:proofErr w:type="spellStart"/>
      <w:r>
        <w:rPr>
          <w:sz w:val="20"/>
          <w:szCs w:val="20"/>
        </w:rPr>
        <w:t>J</w:t>
      </w:r>
      <w:proofErr w:type="gramStart"/>
      <w:r>
        <w:rPr>
          <w:sz w:val="20"/>
          <w:szCs w:val="20"/>
        </w:rPr>
        <w:t>,Beauverie</w:t>
      </w:r>
      <w:proofErr w:type="spellEnd"/>
      <w:proofErr w:type="gramEnd"/>
      <w:r>
        <w:rPr>
          <w:sz w:val="20"/>
          <w:szCs w:val="20"/>
        </w:rPr>
        <w:t xml:space="preserve"> P, </w:t>
      </w:r>
      <w:proofErr w:type="spellStart"/>
      <w:r>
        <w:rPr>
          <w:sz w:val="20"/>
          <w:szCs w:val="20"/>
        </w:rPr>
        <w:t>Touzeau</w:t>
      </w:r>
      <w:proofErr w:type="spellEnd"/>
      <w:r>
        <w:rPr>
          <w:sz w:val="20"/>
          <w:szCs w:val="20"/>
        </w:rPr>
        <w:t xml:space="preserve"> D.  Substitution with buprenorphine in methadone- and morphine sulfate–dependent patients. Preliminary results.</w:t>
      </w:r>
      <w:r>
        <w:rPr>
          <w:sz w:val="20"/>
          <w:szCs w:val="20"/>
        </w:rPr>
        <w:tab/>
      </w:r>
      <w:proofErr w:type="spellStart"/>
      <w:r>
        <w:rPr>
          <w:sz w:val="20"/>
          <w:szCs w:val="20"/>
        </w:rPr>
        <w:t>Eur</w:t>
      </w:r>
      <w:proofErr w:type="spellEnd"/>
      <w:r>
        <w:rPr>
          <w:sz w:val="20"/>
          <w:szCs w:val="20"/>
        </w:rPr>
        <w:t xml:space="preserve"> Addict Res 1998; 4(</w:t>
      </w:r>
      <w:proofErr w:type="spellStart"/>
      <w:r>
        <w:rPr>
          <w:sz w:val="20"/>
          <w:szCs w:val="20"/>
        </w:rPr>
        <w:t>Suppl</w:t>
      </w:r>
      <w:proofErr w:type="spellEnd"/>
      <w:r>
        <w:rPr>
          <w:sz w:val="20"/>
          <w:szCs w:val="20"/>
        </w:rPr>
        <w:t xml:space="preserve"> 1):8–12.</w:t>
      </w:r>
    </w:p>
    <w:p w:rsidR="005D6B1C" w:rsidRDefault="005D6B1C">
      <w:pPr>
        <w:spacing w:line="240" w:lineRule="auto"/>
        <w:rPr>
          <w:sz w:val="20"/>
          <w:szCs w:val="20"/>
        </w:rPr>
      </w:pPr>
    </w:p>
    <w:p w:rsidR="005D6B1C" w:rsidRDefault="000B2678">
      <w:pPr>
        <w:numPr>
          <w:ilvl w:val="0"/>
          <w:numId w:val="1"/>
        </w:numPr>
        <w:spacing w:line="240" w:lineRule="auto"/>
        <w:rPr>
          <w:sz w:val="20"/>
          <w:szCs w:val="20"/>
        </w:rPr>
      </w:pPr>
      <w:r>
        <w:rPr>
          <w:sz w:val="20"/>
          <w:szCs w:val="20"/>
        </w:rPr>
        <w:t>Amas</w:t>
      </w:r>
      <w:r>
        <w:rPr>
          <w:sz w:val="20"/>
          <w:szCs w:val="20"/>
        </w:rPr>
        <w:t>s</w:t>
      </w:r>
      <w:r>
        <w:rPr>
          <w:sz w:val="20"/>
          <w:szCs w:val="20"/>
        </w:rPr>
        <w:tab/>
        <w:t xml:space="preserve">L, </w:t>
      </w:r>
      <w:proofErr w:type="spellStart"/>
      <w:r>
        <w:rPr>
          <w:sz w:val="20"/>
          <w:szCs w:val="20"/>
        </w:rPr>
        <w:t>Kamien</w:t>
      </w:r>
      <w:proofErr w:type="spellEnd"/>
      <w:r>
        <w:rPr>
          <w:sz w:val="20"/>
          <w:szCs w:val="20"/>
        </w:rPr>
        <w:t xml:space="preserve"> JB. A controlled comparison of the buprenorphine-naloxone tablet and methadone for opioid </w:t>
      </w:r>
      <w:proofErr w:type="gramStart"/>
      <w:r>
        <w:rPr>
          <w:sz w:val="20"/>
          <w:szCs w:val="20"/>
        </w:rPr>
        <w:t>maintenance  treatment</w:t>
      </w:r>
      <w:proofErr w:type="gramEnd"/>
      <w:r>
        <w:rPr>
          <w:sz w:val="20"/>
          <w:szCs w:val="20"/>
        </w:rPr>
        <w:t xml:space="preserve"> : interim results. In: Harris L S, ed. Problems of drug dependence 199. NIDA Research Monograph Series.</w:t>
      </w:r>
      <w:r>
        <w:rPr>
          <w:sz w:val="20"/>
          <w:szCs w:val="20"/>
        </w:rPr>
        <w:tab/>
        <w:t xml:space="preserve">Bethesda, MD: </w:t>
      </w:r>
      <w:proofErr w:type="gramStart"/>
      <w:r>
        <w:rPr>
          <w:sz w:val="20"/>
          <w:szCs w:val="20"/>
        </w:rPr>
        <w:t>National  Ins</w:t>
      </w:r>
      <w:r>
        <w:rPr>
          <w:sz w:val="20"/>
          <w:szCs w:val="20"/>
        </w:rPr>
        <w:t>titute</w:t>
      </w:r>
      <w:proofErr w:type="gramEnd"/>
      <w:r>
        <w:rPr>
          <w:sz w:val="20"/>
          <w:szCs w:val="20"/>
        </w:rPr>
        <w:t xml:space="preserve"> on Drug Abuse, 2001.</w:t>
      </w:r>
    </w:p>
    <w:p w:rsidR="005D6B1C" w:rsidRDefault="005D6B1C">
      <w:pPr>
        <w:spacing w:line="240" w:lineRule="auto"/>
        <w:rPr>
          <w:sz w:val="20"/>
          <w:szCs w:val="20"/>
        </w:rPr>
      </w:pPr>
    </w:p>
    <w:p w:rsidR="005D6B1C" w:rsidRDefault="000B2678">
      <w:pPr>
        <w:numPr>
          <w:ilvl w:val="0"/>
          <w:numId w:val="1"/>
        </w:numPr>
        <w:spacing w:line="240" w:lineRule="auto"/>
        <w:rPr>
          <w:sz w:val="20"/>
          <w:szCs w:val="20"/>
        </w:rPr>
      </w:pPr>
      <w:proofErr w:type="spellStart"/>
      <w:r>
        <w:rPr>
          <w:sz w:val="20"/>
          <w:szCs w:val="20"/>
        </w:rPr>
        <w:t>Chutuape</w:t>
      </w:r>
      <w:proofErr w:type="spellEnd"/>
      <w:r>
        <w:rPr>
          <w:sz w:val="20"/>
          <w:szCs w:val="20"/>
        </w:rPr>
        <w:t xml:space="preserve"> MA, Johnson RE, </w:t>
      </w:r>
      <w:proofErr w:type="gramStart"/>
      <w:r>
        <w:rPr>
          <w:sz w:val="20"/>
          <w:szCs w:val="20"/>
        </w:rPr>
        <w:t>Strain  EC</w:t>
      </w:r>
      <w:proofErr w:type="gramEnd"/>
      <w:r>
        <w:rPr>
          <w:sz w:val="20"/>
          <w:szCs w:val="20"/>
        </w:rPr>
        <w:t xml:space="preserve">, et al . Controlled clinical trial comparing maintenance treatment efficacy of </w:t>
      </w:r>
      <w:r>
        <w:rPr>
          <w:sz w:val="20"/>
          <w:szCs w:val="20"/>
        </w:rPr>
        <w:tab/>
        <w:t xml:space="preserve">buprenorphine (buprenorphine), </w:t>
      </w:r>
      <w:proofErr w:type="spellStart"/>
      <w:r>
        <w:rPr>
          <w:sz w:val="20"/>
          <w:szCs w:val="20"/>
        </w:rPr>
        <w:t>levomethadoneadoneadyl</w:t>
      </w:r>
      <w:proofErr w:type="spellEnd"/>
      <w:r>
        <w:rPr>
          <w:sz w:val="20"/>
          <w:szCs w:val="20"/>
        </w:rPr>
        <w:t xml:space="preserve"> acetate (LAAM) and methadone</w:t>
      </w:r>
      <w:r>
        <w:rPr>
          <w:sz w:val="20"/>
          <w:szCs w:val="20"/>
        </w:rPr>
        <w:tab/>
        <w:t>(</w:t>
      </w:r>
      <w:proofErr w:type="gramStart"/>
      <w:r>
        <w:rPr>
          <w:sz w:val="20"/>
          <w:szCs w:val="20"/>
        </w:rPr>
        <w:t>m )</w:t>
      </w:r>
      <w:proofErr w:type="gramEnd"/>
      <w:r>
        <w:rPr>
          <w:sz w:val="20"/>
          <w:szCs w:val="20"/>
        </w:rPr>
        <w:t xml:space="preserve">. I </w:t>
      </w:r>
      <w:proofErr w:type="gramStart"/>
      <w:r>
        <w:rPr>
          <w:sz w:val="20"/>
          <w:szCs w:val="20"/>
        </w:rPr>
        <w:t>n :</w:t>
      </w:r>
      <w:proofErr w:type="gramEnd"/>
      <w:r>
        <w:rPr>
          <w:sz w:val="20"/>
          <w:szCs w:val="20"/>
        </w:rPr>
        <w:t xml:space="preserve"> Harris L S, ed. </w:t>
      </w:r>
      <w:r>
        <w:rPr>
          <w:sz w:val="20"/>
          <w:szCs w:val="20"/>
        </w:rPr>
        <w:t>Problems of drug dependence 1998 (NDA Research Monograph 179). Rockville</w:t>
      </w:r>
      <w:proofErr w:type="gramStart"/>
      <w:r>
        <w:rPr>
          <w:sz w:val="20"/>
          <w:szCs w:val="20"/>
        </w:rPr>
        <w:t>,  MD</w:t>
      </w:r>
      <w:proofErr w:type="gramEnd"/>
      <w:r>
        <w:rPr>
          <w:sz w:val="20"/>
          <w:szCs w:val="20"/>
        </w:rPr>
        <w:t>:  National Institute on Drug Abuse. 1999:74.</w:t>
      </w:r>
    </w:p>
    <w:p w:rsidR="005D6B1C" w:rsidRDefault="005D6B1C">
      <w:pPr>
        <w:spacing w:line="240" w:lineRule="auto"/>
        <w:rPr>
          <w:sz w:val="20"/>
          <w:szCs w:val="20"/>
        </w:rPr>
      </w:pPr>
    </w:p>
    <w:p w:rsidR="005D6B1C" w:rsidRDefault="000B2678">
      <w:pPr>
        <w:numPr>
          <w:ilvl w:val="0"/>
          <w:numId w:val="1"/>
        </w:numPr>
        <w:spacing w:line="240" w:lineRule="auto"/>
        <w:rPr>
          <w:sz w:val="20"/>
          <w:szCs w:val="20"/>
        </w:rPr>
      </w:pPr>
      <w:r>
        <w:rPr>
          <w:sz w:val="20"/>
          <w:szCs w:val="20"/>
        </w:rPr>
        <w:t xml:space="preserve">Stain EC, </w:t>
      </w:r>
      <w:proofErr w:type="spellStart"/>
      <w:r>
        <w:rPr>
          <w:sz w:val="20"/>
          <w:szCs w:val="20"/>
        </w:rPr>
        <w:t>Stitzer</w:t>
      </w:r>
      <w:proofErr w:type="spellEnd"/>
      <w:r>
        <w:rPr>
          <w:sz w:val="20"/>
          <w:szCs w:val="20"/>
        </w:rPr>
        <w:t xml:space="preserve"> ML. Buprenorphine versus methadone in the treatment of opioid dependence: self -reports, urinalysis and Addiction </w:t>
      </w:r>
      <w:r>
        <w:rPr>
          <w:sz w:val="20"/>
          <w:szCs w:val="20"/>
        </w:rPr>
        <w:t xml:space="preserve">Severity </w:t>
      </w:r>
      <w:proofErr w:type="gramStart"/>
      <w:r>
        <w:rPr>
          <w:sz w:val="20"/>
          <w:szCs w:val="20"/>
        </w:rPr>
        <w:t>Index  J</w:t>
      </w:r>
      <w:proofErr w:type="gramEnd"/>
      <w:r>
        <w:rPr>
          <w:sz w:val="20"/>
          <w:szCs w:val="20"/>
        </w:rPr>
        <w:t xml:space="preserve"> </w:t>
      </w:r>
      <w:proofErr w:type="spellStart"/>
      <w:r>
        <w:rPr>
          <w:sz w:val="20"/>
          <w:szCs w:val="20"/>
        </w:rPr>
        <w:t>Clin</w:t>
      </w:r>
      <w:proofErr w:type="spellEnd"/>
      <w:r>
        <w:rPr>
          <w:sz w:val="20"/>
          <w:szCs w:val="20"/>
        </w:rPr>
        <w:t xml:space="preserve"> </w:t>
      </w:r>
      <w:proofErr w:type="spellStart"/>
      <w:r>
        <w:rPr>
          <w:sz w:val="20"/>
          <w:szCs w:val="20"/>
        </w:rPr>
        <w:t>Psychopharmacol</w:t>
      </w:r>
      <w:proofErr w:type="spellEnd"/>
      <w:r>
        <w:rPr>
          <w:sz w:val="20"/>
          <w:szCs w:val="20"/>
        </w:rPr>
        <w:t xml:space="preserve"> 1996; 16: 58–67.</w:t>
      </w:r>
    </w:p>
    <w:p w:rsidR="005D6B1C" w:rsidRDefault="005D6B1C">
      <w:pPr>
        <w:spacing w:line="240" w:lineRule="auto"/>
        <w:rPr>
          <w:sz w:val="20"/>
          <w:szCs w:val="20"/>
        </w:rPr>
      </w:pPr>
    </w:p>
    <w:p w:rsidR="005D6B1C" w:rsidRDefault="000B2678">
      <w:pPr>
        <w:numPr>
          <w:ilvl w:val="0"/>
          <w:numId w:val="1"/>
        </w:numPr>
        <w:spacing w:line="240" w:lineRule="auto"/>
        <w:rPr>
          <w:sz w:val="20"/>
          <w:szCs w:val="20"/>
        </w:rPr>
      </w:pPr>
      <w:r>
        <w:rPr>
          <w:sz w:val="20"/>
          <w:szCs w:val="20"/>
        </w:rPr>
        <w:t xml:space="preserve">Walsh SL, Preston KL.  Clinical pharmacology of buprenorphine: ceiling effects at high </w:t>
      </w:r>
      <w:proofErr w:type="gramStart"/>
      <w:r>
        <w:rPr>
          <w:sz w:val="20"/>
          <w:szCs w:val="20"/>
        </w:rPr>
        <w:t>doses .</w:t>
      </w:r>
      <w:proofErr w:type="gramEnd"/>
      <w:r>
        <w:rPr>
          <w:sz w:val="20"/>
          <w:szCs w:val="20"/>
        </w:rPr>
        <w:t xml:space="preserve"> </w:t>
      </w:r>
      <w:proofErr w:type="spellStart"/>
      <w:r>
        <w:rPr>
          <w:sz w:val="20"/>
          <w:szCs w:val="20"/>
        </w:rPr>
        <w:t>Clin</w:t>
      </w:r>
      <w:proofErr w:type="spellEnd"/>
      <w:r>
        <w:rPr>
          <w:sz w:val="20"/>
          <w:szCs w:val="20"/>
        </w:rPr>
        <w:t xml:space="preserve"> </w:t>
      </w:r>
      <w:proofErr w:type="spellStart"/>
      <w:r>
        <w:rPr>
          <w:sz w:val="20"/>
          <w:szCs w:val="20"/>
        </w:rPr>
        <w:t>Pharmacol</w:t>
      </w:r>
      <w:proofErr w:type="spellEnd"/>
      <w:r>
        <w:rPr>
          <w:sz w:val="20"/>
          <w:szCs w:val="20"/>
        </w:rPr>
        <w:t xml:space="preserve"> </w:t>
      </w:r>
      <w:proofErr w:type="spellStart"/>
      <w:r>
        <w:rPr>
          <w:sz w:val="20"/>
          <w:szCs w:val="20"/>
        </w:rPr>
        <w:t>Ther</w:t>
      </w:r>
      <w:proofErr w:type="spellEnd"/>
      <w:r>
        <w:rPr>
          <w:sz w:val="20"/>
          <w:szCs w:val="20"/>
        </w:rPr>
        <w:t xml:space="preserve"> 1994; 55: 569–580.</w:t>
      </w:r>
    </w:p>
    <w:p w:rsidR="005D6B1C" w:rsidRDefault="000B2678">
      <w:pPr>
        <w:numPr>
          <w:ilvl w:val="0"/>
          <w:numId w:val="1"/>
        </w:numPr>
        <w:spacing w:line="240" w:lineRule="auto"/>
        <w:rPr>
          <w:sz w:val="20"/>
          <w:szCs w:val="20"/>
        </w:rPr>
      </w:pPr>
      <w:r>
        <w:rPr>
          <w:color w:val="303030"/>
          <w:sz w:val="20"/>
          <w:szCs w:val="20"/>
          <w:highlight w:val="white"/>
        </w:rPr>
        <w:t xml:space="preserve">Weiss RD, Potter JS, </w:t>
      </w:r>
      <w:proofErr w:type="spellStart"/>
      <w:r>
        <w:rPr>
          <w:color w:val="303030"/>
          <w:sz w:val="20"/>
          <w:szCs w:val="20"/>
          <w:highlight w:val="white"/>
        </w:rPr>
        <w:t>Fiellin</w:t>
      </w:r>
      <w:proofErr w:type="spellEnd"/>
      <w:r>
        <w:rPr>
          <w:color w:val="303030"/>
          <w:sz w:val="20"/>
          <w:szCs w:val="20"/>
          <w:highlight w:val="white"/>
        </w:rPr>
        <w:t xml:space="preserve"> D, Byrne M, Connery HS, Dickinson W,</w:t>
      </w:r>
      <w:r>
        <w:rPr>
          <w:color w:val="303030"/>
          <w:sz w:val="20"/>
          <w:szCs w:val="20"/>
          <w:highlight w:val="white"/>
        </w:rPr>
        <w:t xml:space="preserve"> et al. A Two-Phase Randomized Controlled Trial of Adjunctive Counseling during Brief and Extended Buprenorphine-Naloxone Treatment for Prescription Opioid Dependence. Arch Gen Psychiatry. 2011</w:t>
      </w:r>
      <w:proofErr w:type="gramStart"/>
      <w:r>
        <w:rPr>
          <w:color w:val="303030"/>
          <w:sz w:val="20"/>
          <w:szCs w:val="20"/>
          <w:highlight w:val="white"/>
        </w:rPr>
        <w:t>;68</w:t>
      </w:r>
      <w:proofErr w:type="gramEnd"/>
      <w:r>
        <w:rPr>
          <w:color w:val="303030"/>
          <w:sz w:val="20"/>
          <w:szCs w:val="20"/>
          <w:highlight w:val="white"/>
        </w:rPr>
        <w:t>(12):1238–46.</w:t>
      </w:r>
    </w:p>
    <w:p w:rsidR="005D6B1C" w:rsidRDefault="005D6B1C">
      <w:pPr>
        <w:spacing w:line="240" w:lineRule="auto"/>
        <w:rPr>
          <w:b/>
          <w:color w:val="222222"/>
          <w:sz w:val="20"/>
          <w:szCs w:val="20"/>
          <w:highlight w:val="white"/>
          <w:u w:val="single"/>
        </w:rPr>
      </w:pPr>
    </w:p>
    <w:sectPr w:rsidR="005D6B1C">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95AA5"/>
    <w:multiLevelType w:val="multilevel"/>
    <w:tmpl w:val="8E5CD32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5D6B1C"/>
    <w:rsid w:val="000B2678"/>
    <w:rsid w:val="005D6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styleId="TableGrid">
    <w:name w:val="Table Grid"/>
    <w:basedOn w:val="TableNormal"/>
    <w:uiPriority w:val="39"/>
    <w:rsid w:val="00197C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E67F6E"/>
    <w:pPr>
      <w:spacing w:line="240" w:lineRule="auto"/>
    </w:pPr>
    <w:rPr>
      <w:rFonts w:asciiTheme="minorHAnsi" w:eastAsiaTheme="minorEastAsia" w:hAnsiTheme="minorHAnsi" w:cstheme="minorBidi"/>
      <w:lang w:val="en-US" w:eastAsia="ja-JP"/>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5">
    <w:name w:val="Light List Accent 5"/>
    <w:basedOn w:val="TableNormal"/>
    <w:uiPriority w:val="61"/>
    <w:rsid w:val="00E67F6E"/>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DecimalAligned">
    <w:name w:val="Decimal Aligned"/>
    <w:basedOn w:val="Normal"/>
    <w:uiPriority w:val="40"/>
    <w:qFormat/>
    <w:rsid w:val="00E67F6E"/>
    <w:pPr>
      <w:tabs>
        <w:tab w:val="decimal" w:pos="360"/>
      </w:tabs>
      <w:spacing w:after="200"/>
    </w:pPr>
    <w:rPr>
      <w:rFonts w:asciiTheme="minorHAnsi" w:eastAsiaTheme="minorHAnsi" w:hAnsiTheme="minorHAnsi" w:cstheme="minorBidi"/>
      <w:lang w:val="en-US" w:eastAsia="ja-JP"/>
    </w:rPr>
  </w:style>
  <w:style w:type="paragraph" w:styleId="FootnoteText">
    <w:name w:val="footnote text"/>
    <w:basedOn w:val="Normal"/>
    <w:link w:val="FootnoteTextChar"/>
    <w:uiPriority w:val="99"/>
    <w:unhideWhenUsed/>
    <w:rsid w:val="00E67F6E"/>
    <w:pPr>
      <w:spacing w:line="240" w:lineRule="auto"/>
    </w:pPr>
    <w:rPr>
      <w:rFonts w:asciiTheme="minorHAnsi" w:eastAsiaTheme="minorEastAsia" w:hAnsiTheme="minorHAnsi" w:cstheme="minorBidi"/>
      <w:sz w:val="20"/>
      <w:szCs w:val="20"/>
      <w:lang w:val="en-US" w:eastAsia="ja-JP"/>
    </w:rPr>
  </w:style>
  <w:style w:type="character" w:customStyle="1" w:styleId="FootnoteTextChar">
    <w:name w:val="Footnote Text Char"/>
    <w:basedOn w:val="DefaultParagraphFont"/>
    <w:link w:val="FootnoteText"/>
    <w:uiPriority w:val="99"/>
    <w:rsid w:val="00E67F6E"/>
    <w:rPr>
      <w:rFonts w:asciiTheme="minorHAnsi" w:eastAsiaTheme="minorEastAsia" w:hAnsiTheme="minorHAnsi" w:cstheme="minorBidi"/>
      <w:sz w:val="20"/>
      <w:szCs w:val="20"/>
      <w:lang w:val="en-US" w:eastAsia="ja-JP"/>
    </w:rPr>
  </w:style>
  <w:style w:type="character" w:styleId="SubtleEmphasis">
    <w:name w:val="Subtle Emphasis"/>
    <w:basedOn w:val="DefaultParagraphFont"/>
    <w:uiPriority w:val="19"/>
    <w:qFormat/>
    <w:rsid w:val="00E67F6E"/>
    <w:rPr>
      <w:i/>
      <w:iCs/>
      <w:color w:val="7F7F7F" w:themeColor="text1" w:themeTint="80"/>
    </w:rPr>
  </w:style>
  <w:style w:type="table" w:styleId="MediumShading2-Accent5">
    <w:name w:val="Medium Shading 2 Accent 5"/>
    <w:basedOn w:val="TableNormal"/>
    <w:uiPriority w:val="64"/>
    <w:rsid w:val="00E67F6E"/>
    <w:pPr>
      <w:spacing w:line="240" w:lineRule="auto"/>
    </w:pPr>
    <w:rPr>
      <w:rFonts w:asciiTheme="minorHAnsi" w:eastAsiaTheme="minorEastAsia" w:hAnsiTheme="minorHAnsi" w:cstheme="minorBidi"/>
      <w:lang w:val="en-US"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unhideWhenUsed/>
    <w:rsid w:val="00653FD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FDA"/>
    <w:rPr>
      <w:rFonts w:ascii="Tahoma" w:hAnsi="Tahoma" w:cs="Tahoma"/>
      <w:sz w:val="16"/>
      <w:szCs w:val="16"/>
    </w:rPr>
  </w:style>
  <w:style w:type="paragraph" w:styleId="Caption">
    <w:name w:val="caption"/>
    <w:basedOn w:val="Normal"/>
    <w:next w:val="Normal"/>
    <w:uiPriority w:val="35"/>
    <w:unhideWhenUsed/>
    <w:qFormat/>
    <w:rsid w:val="001721B6"/>
    <w:pPr>
      <w:spacing w:after="200" w:line="240" w:lineRule="auto"/>
    </w:pPr>
    <w:rPr>
      <w:b/>
      <w:bCs/>
      <w:color w:val="4F81BD" w:themeColor="accent1"/>
      <w:sz w:val="18"/>
      <w:szCs w:val="18"/>
    </w:rPr>
  </w:style>
  <w:style w:type="table" w:customStyle="1" w:styleId="a">
    <w:basedOn w:val="TableNormal"/>
    <w:pPr>
      <w:spacing w:line="240" w:lineRule="auto"/>
    </w:pPr>
    <w:rPr>
      <w:rFonts w:ascii="Cambria" w:eastAsia="Cambria" w:hAnsi="Cambria" w:cs="Cambria"/>
    </w:rPr>
    <w:tblPr>
      <w:tblStyleRowBandSize w:val="1"/>
      <w:tblStyleColBandSize w:val="1"/>
    </w:tblPr>
    <w:tblStylePr w:type="firstRow">
      <w:pPr>
        <w:spacing w:before="0" w:after="0" w:line="240" w:lineRule="auto"/>
      </w:pPr>
      <w:rPr>
        <w:b/>
        <w:color w:val="FFFFFF"/>
      </w:rPr>
      <w:tblPr/>
      <w:tcPr>
        <w:shd w:val="clear" w:color="auto" w:fill="4BACC6"/>
      </w:tcPr>
    </w:tblStylePr>
    <w:tblStylePr w:type="lastRow">
      <w:pPr>
        <w:spacing w:before="0" w:after="0" w:line="240" w:lineRule="auto"/>
      </w:pPr>
      <w:rPr>
        <w:b/>
      </w:rPr>
      <w:tblPr/>
      <w:tcPr>
        <w:tcBorders>
          <w:top w:val="single" w:sz="6" w:space="0" w:color="4BACC6"/>
          <w:left w:val="single" w:sz="8" w:space="0" w:color="4BACC6"/>
          <w:bottom w:val="single" w:sz="8" w:space="0" w:color="4BACC6"/>
          <w:right w:val="single" w:sz="8" w:space="0" w:color="4BACC6"/>
        </w:tcBorders>
      </w:tcPr>
    </w:tblStylePr>
    <w:tblStylePr w:type="firstCol">
      <w:rPr>
        <w:b/>
      </w:rPr>
    </w:tblStylePr>
    <w:tblStylePr w:type="lastCol">
      <w:rPr>
        <w:b/>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a0">
    <w:basedOn w:val="TableNormal"/>
    <w:pPr>
      <w:spacing w:line="240" w:lineRule="auto"/>
    </w:pPr>
    <w:rPr>
      <w:rFonts w:ascii="Cambria" w:eastAsia="Cambria" w:hAnsi="Cambria" w:cs="Cambria"/>
    </w:rPr>
    <w:tblPr>
      <w:tblStyleRowBandSize w:val="1"/>
      <w:tblStyleColBandSize w:val="1"/>
    </w:tblPr>
    <w:tblStylePr w:type="firstRow">
      <w:pPr>
        <w:spacing w:before="0" w:after="0" w:line="240" w:lineRule="auto"/>
      </w:pPr>
      <w:rPr>
        <w:b/>
        <w:color w:val="FFFFFF"/>
      </w:rPr>
      <w:tblPr/>
      <w:tcPr>
        <w:shd w:val="clear" w:color="auto" w:fill="4BACC6"/>
      </w:tcPr>
    </w:tblStylePr>
    <w:tblStylePr w:type="lastRow">
      <w:pPr>
        <w:spacing w:before="0" w:after="0" w:line="240" w:lineRule="auto"/>
      </w:pPr>
      <w:rPr>
        <w:b/>
      </w:rPr>
      <w:tblPr/>
      <w:tcPr>
        <w:tcBorders>
          <w:top w:val="single" w:sz="6" w:space="0" w:color="4BACC6"/>
          <w:left w:val="single" w:sz="8" w:space="0" w:color="4BACC6"/>
          <w:bottom w:val="single" w:sz="8" w:space="0" w:color="4BACC6"/>
          <w:right w:val="single" w:sz="8" w:space="0" w:color="4BACC6"/>
        </w:tcBorders>
      </w:tcPr>
    </w:tblStylePr>
    <w:tblStylePr w:type="firstCol">
      <w:rPr>
        <w:b/>
      </w:rPr>
    </w:tblStylePr>
    <w:tblStylePr w:type="lastCol">
      <w:rPr>
        <w:b/>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a1">
    <w:basedOn w:val="TableNormal"/>
    <w:pPr>
      <w:spacing w:line="240" w:lineRule="auto"/>
    </w:pPr>
    <w:rPr>
      <w:rFonts w:ascii="Cambria" w:eastAsia="Cambria" w:hAnsi="Cambria" w:cs="Cambria"/>
    </w:rPr>
    <w:tblPr>
      <w:tblStyleRowBandSize w:val="1"/>
      <w:tblStyleColBandSize w:val="1"/>
    </w:tblPr>
    <w:tblStylePr w:type="firstRow">
      <w:pPr>
        <w:spacing w:before="0" w:after="0" w:line="240" w:lineRule="auto"/>
      </w:pPr>
      <w:rPr>
        <w:b/>
        <w:color w:val="FFFFFF"/>
      </w:rPr>
      <w:tblPr/>
      <w:tcPr>
        <w:tcBorders>
          <w:top w:val="single" w:sz="18" w:space="0" w:color="000000"/>
          <w:left w:val="nil"/>
          <w:bottom w:val="single" w:sz="18" w:space="0" w:color="000000"/>
          <w:right w:val="nil"/>
          <w:insideH w:val="nil"/>
          <w:insideV w:val="nil"/>
        </w:tcBorders>
        <w:shd w:val="clear" w:color="auto" w:fill="4BACC6"/>
      </w:tcPr>
    </w:tblStylePr>
    <w:tblStylePr w:type="lastRow">
      <w:pPr>
        <w:spacing w:before="0" w:after="0" w:line="240" w:lineRule="auto"/>
      </w:pPr>
      <w:rPr>
        <w:color w:val="000000"/>
      </w:rPr>
      <w:tblPr/>
      <w:tcPr>
        <w:tcBorders>
          <w:top w:val="single" w:sz="6" w:space="0" w:color="000000"/>
          <w:left w:val="nil"/>
          <w:bottom w:val="single" w:sz="18" w:space="0" w:color="000000"/>
          <w:right w:val="nil"/>
          <w:insideH w:val="nil"/>
          <w:insideV w:val="nil"/>
        </w:tcBorders>
        <w:shd w:val="clear" w:color="auto" w:fill="FFFFFF"/>
      </w:tcPr>
    </w:tblStylePr>
    <w:tblStylePr w:type="firstCol">
      <w:rPr>
        <w:b/>
        <w:color w:val="FFFFFF"/>
      </w:rPr>
      <w:tblPr/>
      <w:tcPr>
        <w:tcBorders>
          <w:top w:val="nil"/>
          <w:left w:val="nil"/>
          <w:bottom w:val="single" w:sz="18" w:space="0" w:color="000000"/>
          <w:right w:val="nil"/>
          <w:insideH w:val="nil"/>
          <w:insideV w:val="nil"/>
        </w:tcBorders>
        <w:shd w:val="clear" w:color="auto" w:fill="4BACC6"/>
      </w:tcPr>
    </w:tblStylePr>
    <w:tblStylePr w:type="lastCol">
      <w:rPr>
        <w:b/>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000000"/>
          <w:left w:val="nil"/>
          <w:bottom w:val="single" w:sz="18" w:space="0" w:color="000000"/>
          <w:right w:val="nil"/>
          <w:insideH w:val="nil"/>
          <w:insideV w:val="nil"/>
        </w:tcBorders>
      </w:tcPr>
    </w:tblStylePr>
    <w:tblStylePr w:type="nwCell">
      <w:rPr>
        <w:color w:val="FFFFFF"/>
      </w:rPr>
      <w:tblPr/>
      <w:tcPr>
        <w:tcBorders>
          <w:top w:val="single" w:sz="18" w:space="0" w:color="000000"/>
          <w:left w:val="nil"/>
          <w:bottom w:val="single" w:sz="18" w:space="0" w:color="000000"/>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styleId="TableGrid">
    <w:name w:val="Table Grid"/>
    <w:basedOn w:val="TableNormal"/>
    <w:uiPriority w:val="39"/>
    <w:rsid w:val="00197C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E67F6E"/>
    <w:pPr>
      <w:spacing w:line="240" w:lineRule="auto"/>
    </w:pPr>
    <w:rPr>
      <w:rFonts w:asciiTheme="minorHAnsi" w:eastAsiaTheme="minorEastAsia" w:hAnsiTheme="minorHAnsi" w:cstheme="minorBidi"/>
      <w:lang w:val="en-US" w:eastAsia="ja-JP"/>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5">
    <w:name w:val="Light List Accent 5"/>
    <w:basedOn w:val="TableNormal"/>
    <w:uiPriority w:val="61"/>
    <w:rsid w:val="00E67F6E"/>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DecimalAligned">
    <w:name w:val="Decimal Aligned"/>
    <w:basedOn w:val="Normal"/>
    <w:uiPriority w:val="40"/>
    <w:qFormat/>
    <w:rsid w:val="00E67F6E"/>
    <w:pPr>
      <w:tabs>
        <w:tab w:val="decimal" w:pos="360"/>
      </w:tabs>
      <w:spacing w:after="200"/>
    </w:pPr>
    <w:rPr>
      <w:rFonts w:asciiTheme="minorHAnsi" w:eastAsiaTheme="minorHAnsi" w:hAnsiTheme="minorHAnsi" w:cstheme="minorBidi"/>
      <w:lang w:val="en-US" w:eastAsia="ja-JP"/>
    </w:rPr>
  </w:style>
  <w:style w:type="paragraph" w:styleId="FootnoteText">
    <w:name w:val="footnote text"/>
    <w:basedOn w:val="Normal"/>
    <w:link w:val="FootnoteTextChar"/>
    <w:uiPriority w:val="99"/>
    <w:unhideWhenUsed/>
    <w:rsid w:val="00E67F6E"/>
    <w:pPr>
      <w:spacing w:line="240" w:lineRule="auto"/>
    </w:pPr>
    <w:rPr>
      <w:rFonts w:asciiTheme="minorHAnsi" w:eastAsiaTheme="minorEastAsia" w:hAnsiTheme="minorHAnsi" w:cstheme="minorBidi"/>
      <w:sz w:val="20"/>
      <w:szCs w:val="20"/>
      <w:lang w:val="en-US" w:eastAsia="ja-JP"/>
    </w:rPr>
  </w:style>
  <w:style w:type="character" w:customStyle="1" w:styleId="FootnoteTextChar">
    <w:name w:val="Footnote Text Char"/>
    <w:basedOn w:val="DefaultParagraphFont"/>
    <w:link w:val="FootnoteText"/>
    <w:uiPriority w:val="99"/>
    <w:rsid w:val="00E67F6E"/>
    <w:rPr>
      <w:rFonts w:asciiTheme="minorHAnsi" w:eastAsiaTheme="minorEastAsia" w:hAnsiTheme="minorHAnsi" w:cstheme="minorBidi"/>
      <w:sz w:val="20"/>
      <w:szCs w:val="20"/>
      <w:lang w:val="en-US" w:eastAsia="ja-JP"/>
    </w:rPr>
  </w:style>
  <w:style w:type="character" w:styleId="SubtleEmphasis">
    <w:name w:val="Subtle Emphasis"/>
    <w:basedOn w:val="DefaultParagraphFont"/>
    <w:uiPriority w:val="19"/>
    <w:qFormat/>
    <w:rsid w:val="00E67F6E"/>
    <w:rPr>
      <w:i/>
      <w:iCs/>
      <w:color w:val="7F7F7F" w:themeColor="text1" w:themeTint="80"/>
    </w:rPr>
  </w:style>
  <w:style w:type="table" w:styleId="MediumShading2-Accent5">
    <w:name w:val="Medium Shading 2 Accent 5"/>
    <w:basedOn w:val="TableNormal"/>
    <w:uiPriority w:val="64"/>
    <w:rsid w:val="00E67F6E"/>
    <w:pPr>
      <w:spacing w:line="240" w:lineRule="auto"/>
    </w:pPr>
    <w:rPr>
      <w:rFonts w:asciiTheme="minorHAnsi" w:eastAsiaTheme="minorEastAsia" w:hAnsiTheme="minorHAnsi" w:cstheme="minorBidi"/>
      <w:lang w:val="en-US"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unhideWhenUsed/>
    <w:rsid w:val="00653FD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FDA"/>
    <w:rPr>
      <w:rFonts w:ascii="Tahoma" w:hAnsi="Tahoma" w:cs="Tahoma"/>
      <w:sz w:val="16"/>
      <w:szCs w:val="16"/>
    </w:rPr>
  </w:style>
  <w:style w:type="paragraph" w:styleId="Caption">
    <w:name w:val="caption"/>
    <w:basedOn w:val="Normal"/>
    <w:next w:val="Normal"/>
    <w:uiPriority w:val="35"/>
    <w:unhideWhenUsed/>
    <w:qFormat/>
    <w:rsid w:val="001721B6"/>
    <w:pPr>
      <w:spacing w:after="200" w:line="240" w:lineRule="auto"/>
    </w:pPr>
    <w:rPr>
      <w:b/>
      <w:bCs/>
      <w:color w:val="4F81BD" w:themeColor="accent1"/>
      <w:sz w:val="18"/>
      <w:szCs w:val="18"/>
    </w:rPr>
  </w:style>
  <w:style w:type="table" w:customStyle="1" w:styleId="a">
    <w:basedOn w:val="TableNormal"/>
    <w:pPr>
      <w:spacing w:line="240" w:lineRule="auto"/>
    </w:pPr>
    <w:rPr>
      <w:rFonts w:ascii="Cambria" w:eastAsia="Cambria" w:hAnsi="Cambria" w:cs="Cambria"/>
    </w:rPr>
    <w:tblPr>
      <w:tblStyleRowBandSize w:val="1"/>
      <w:tblStyleColBandSize w:val="1"/>
    </w:tblPr>
    <w:tblStylePr w:type="firstRow">
      <w:pPr>
        <w:spacing w:before="0" w:after="0" w:line="240" w:lineRule="auto"/>
      </w:pPr>
      <w:rPr>
        <w:b/>
        <w:color w:val="FFFFFF"/>
      </w:rPr>
      <w:tblPr/>
      <w:tcPr>
        <w:shd w:val="clear" w:color="auto" w:fill="4BACC6"/>
      </w:tcPr>
    </w:tblStylePr>
    <w:tblStylePr w:type="lastRow">
      <w:pPr>
        <w:spacing w:before="0" w:after="0" w:line="240" w:lineRule="auto"/>
      </w:pPr>
      <w:rPr>
        <w:b/>
      </w:rPr>
      <w:tblPr/>
      <w:tcPr>
        <w:tcBorders>
          <w:top w:val="single" w:sz="6" w:space="0" w:color="4BACC6"/>
          <w:left w:val="single" w:sz="8" w:space="0" w:color="4BACC6"/>
          <w:bottom w:val="single" w:sz="8" w:space="0" w:color="4BACC6"/>
          <w:right w:val="single" w:sz="8" w:space="0" w:color="4BACC6"/>
        </w:tcBorders>
      </w:tcPr>
    </w:tblStylePr>
    <w:tblStylePr w:type="firstCol">
      <w:rPr>
        <w:b/>
      </w:rPr>
    </w:tblStylePr>
    <w:tblStylePr w:type="lastCol">
      <w:rPr>
        <w:b/>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a0">
    <w:basedOn w:val="TableNormal"/>
    <w:pPr>
      <w:spacing w:line="240" w:lineRule="auto"/>
    </w:pPr>
    <w:rPr>
      <w:rFonts w:ascii="Cambria" w:eastAsia="Cambria" w:hAnsi="Cambria" w:cs="Cambria"/>
    </w:rPr>
    <w:tblPr>
      <w:tblStyleRowBandSize w:val="1"/>
      <w:tblStyleColBandSize w:val="1"/>
    </w:tblPr>
    <w:tblStylePr w:type="firstRow">
      <w:pPr>
        <w:spacing w:before="0" w:after="0" w:line="240" w:lineRule="auto"/>
      </w:pPr>
      <w:rPr>
        <w:b/>
        <w:color w:val="FFFFFF"/>
      </w:rPr>
      <w:tblPr/>
      <w:tcPr>
        <w:shd w:val="clear" w:color="auto" w:fill="4BACC6"/>
      </w:tcPr>
    </w:tblStylePr>
    <w:tblStylePr w:type="lastRow">
      <w:pPr>
        <w:spacing w:before="0" w:after="0" w:line="240" w:lineRule="auto"/>
      </w:pPr>
      <w:rPr>
        <w:b/>
      </w:rPr>
      <w:tblPr/>
      <w:tcPr>
        <w:tcBorders>
          <w:top w:val="single" w:sz="6" w:space="0" w:color="4BACC6"/>
          <w:left w:val="single" w:sz="8" w:space="0" w:color="4BACC6"/>
          <w:bottom w:val="single" w:sz="8" w:space="0" w:color="4BACC6"/>
          <w:right w:val="single" w:sz="8" w:space="0" w:color="4BACC6"/>
        </w:tcBorders>
      </w:tcPr>
    </w:tblStylePr>
    <w:tblStylePr w:type="firstCol">
      <w:rPr>
        <w:b/>
      </w:rPr>
    </w:tblStylePr>
    <w:tblStylePr w:type="lastCol">
      <w:rPr>
        <w:b/>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a1">
    <w:basedOn w:val="TableNormal"/>
    <w:pPr>
      <w:spacing w:line="240" w:lineRule="auto"/>
    </w:pPr>
    <w:rPr>
      <w:rFonts w:ascii="Cambria" w:eastAsia="Cambria" w:hAnsi="Cambria" w:cs="Cambria"/>
    </w:rPr>
    <w:tblPr>
      <w:tblStyleRowBandSize w:val="1"/>
      <w:tblStyleColBandSize w:val="1"/>
    </w:tblPr>
    <w:tblStylePr w:type="firstRow">
      <w:pPr>
        <w:spacing w:before="0" w:after="0" w:line="240" w:lineRule="auto"/>
      </w:pPr>
      <w:rPr>
        <w:b/>
        <w:color w:val="FFFFFF"/>
      </w:rPr>
      <w:tblPr/>
      <w:tcPr>
        <w:tcBorders>
          <w:top w:val="single" w:sz="18" w:space="0" w:color="000000"/>
          <w:left w:val="nil"/>
          <w:bottom w:val="single" w:sz="18" w:space="0" w:color="000000"/>
          <w:right w:val="nil"/>
          <w:insideH w:val="nil"/>
          <w:insideV w:val="nil"/>
        </w:tcBorders>
        <w:shd w:val="clear" w:color="auto" w:fill="4BACC6"/>
      </w:tcPr>
    </w:tblStylePr>
    <w:tblStylePr w:type="lastRow">
      <w:pPr>
        <w:spacing w:before="0" w:after="0" w:line="240" w:lineRule="auto"/>
      </w:pPr>
      <w:rPr>
        <w:color w:val="000000"/>
      </w:rPr>
      <w:tblPr/>
      <w:tcPr>
        <w:tcBorders>
          <w:top w:val="single" w:sz="6" w:space="0" w:color="000000"/>
          <w:left w:val="nil"/>
          <w:bottom w:val="single" w:sz="18" w:space="0" w:color="000000"/>
          <w:right w:val="nil"/>
          <w:insideH w:val="nil"/>
          <w:insideV w:val="nil"/>
        </w:tcBorders>
        <w:shd w:val="clear" w:color="auto" w:fill="FFFFFF"/>
      </w:tcPr>
    </w:tblStylePr>
    <w:tblStylePr w:type="firstCol">
      <w:rPr>
        <w:b/>
        <w:color w:val="FFFFFF"/>
      </w:rPr>
      <w:tblPr/>
      <w:tcPr>
        <w:tcBorders>
          <w:top w:val="nil"/>
          <w:left w:val="nil"/>
          <w:bottom w:val="single" w:sz="18" w:space="0" w:color="000000"/>
          <w:right w:val="nil"/>
          <w:insideH w:val="nil"/>
          <w:insideV w:val="nil"/>
        </w:tcBorders>
        <w:shd w:val="clear" w:color="auto" w:fill="4BACC6"/>
      </w:tcPr>
    </w:tblStylePr>
    <w:tblStylePr w:type="lastCol">
      <w:rPr>
        <w:b/>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000000"/>
          <w:left w:val="nil"/>
          <w:bottom w:val="single" w:sz="18" w:space="0" w:color="000000"/>
          <w:right w:val="nil"/>
          <w:insideH w:val="nil"/>
          <w:insideV w:val="nil"/>
        </w:tcBorders>
      </w:tcPr>
    </w:tblStylePr>
    <w:tblStylePr w:type="nwCell">
      <w:rPr>
        <w:color w:val="FFFFFF"/>
      </w:rPr>
      <w:tblPr/>
      <w:tcPr>
        <w:tcBorders>
          <w:top w:val="single" w:sz="18" w:space="0" w:color="000000"/>
          <w:left w:val="nil"/>
          <w:bottom w:val="single" w:sz="18" w:space="0" w:color="000000"/>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Demographics</c:v>
                </c:pt>
              </c:strCache>
            </c:strRef>
          </c:tx>
          <c:cat>
            <c:strRef>
              <c:f>Sheet1!$A$2:$A$4</c:f>
              <c:strCache>
                <c:ptCount val="3"/>
                <c:pt idx="0">
                  <c:v>Caucasian</c:v>
                </c:pt>
                <c:pt idx="1">
                  <c:v>African American</c:v>
                </c:pt>
                <c:pt idx="2">
                  <c:v>Hispanic</c:v>
                </c:pt>
              </c:strCache>
            </c:strRef>
          </c:cat>
          <c:val>
            <c:numRef>
              <c:f>Sheet1!$B$2:$B$4</c:f>
              <c:numCache>
                <c:formatCode>General</c:formatCode>
                <c:ptCount val="3"/>
                <c:pt idx="0">
                  <c:v>73.8</c:v>
                </c:pt>
                <c:pt idx="1">
                  <c:v>19</c:v>
                </c:pt>
                <c:pt idx="2">
                  <c:v>7.1</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Gender</c:v>
                </c:pt>
              </c:strCache>
            </c:strRef>
          </c:tx>
          <c:cat>
            <c:strRef>
              <c:f>Sheet1!$A$2:$A$3</c:f>
              <c:strCache>
                <c:ptCount val="2"/>
                <c:pt idx="0">
                  <c:v>Male</c:v>
                </c:pt>
                <c:pt idx="1">
                  <c:v>Female</c:v>
                </c:pt>
              </c:strCache>
            </c:strRef>
          </c:cat>
          <c:val>
            <c:numRef>
              <c:f>Sheet1!$B$2:$B$3</c:f>
              <c:numCache>
                <c:formatCode>General</c:formatCode>
                <c:ptCount val="2"/>
                <c:pt idx="0">
                  <c:v>64.3</c:v>
                </c:pt>
                <c:pt idx="1">
                  <c:v>35.700000000000003</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Average</c:v>
                </c:pt>
              </c:strCache>
            </c:strRef>
          </c:tx>
          <c:invertIfNegative val="0"/>
          <c:cat>
            <c:strRef>
              <c:f>Sheet1!$A$2:$A$3</c:f>
              <c:strCache>
                <c:ptCount val="2"/>
                <c:pt idx="0">
                  <c:v>bup/NX dosage prior to taper</c:v>
                </c:pt>
                <c:pt idx="1">
                  <c:v>bup/NX dosage after taper</c:v>
                </c:pt>
              </c:strCache>
            </c:strRef>
          </c:cat>
          <c:val>
            <c:numRef>
              <c:f>Sheet1!$B$2:$B$3</c:f>
              <c:numCache>
                <c:formatCode>General</c:formatCode>
                <c:ptCount val="2"/>
                <c:pt idx="0">
                  <c:v>11</c:v>
                </c:pt>
                <c:pt idx="1">
                  <c:v>5.4</c:v>
                </c:pt>
              </c:numCache>
            </c:numRef>
          </c:val>
        </c:ser>
        <c:ser>
          <c:idx val="1"/>
          <c:order val="1"/>
          <c:tx>
            <c:strRef>
              <c:f>Sheet1!$C$1</c:f>
              <c:strCache>
                <c:ptCount val="1"/>
                <c:pt idx="0">
                  <c:v>Median</c:v>
                </c:pt>
              </c:strCache>
            </c:strRef>
          </c:tx>
          <c:invertIfNegative val="0"/>
          <c:cat>
            <c:strRef>
              <c:f>Sheet1!$A$2:$A$3</c:f>
              <c:strCache>
                <c:ptCount val="2"/>
                <c:pt idx="0">
                  <c:v>bup/NX dosage prior to taper</c:v>
                </c:pt>
                <c:pt idx="1">
                  <c:v>bup/NX dosage after taper</c:v>
                </c:pt>
              </c:strCache>
            </c:strRef>
          </c:cat>
          <c:val>
            <c:numRef>
              <c:f>Sheet1!$C$2:$C$3</c:f>
              <c:numCache>
                <c:formatCode>General</c:formatCode>
                <c:ptCount val="2"/>
                <c:pt idx="0">
                  <c:v>12</c:v>
                </c:pt>
                <c:pt idx="1">
                  <c:v>5.5</c:v>
                </c:pt>
              </c:numCache>
            </c:numRef>
          </c:val>
        </c:ser>
        <c:dLbls>
          <c:showLegendKey val="0"/>
          <c:showVal val="0"/>
          <c:showCatName val="0"/>
          <c:showSerName val="0"/>
          <c:showPercent val="0"/>
          <c:showBubbleSize val="0"/>
        </c:dLbls>
        <c:gapWidth val="150"/>
        <c:axId val="322746240"/>
        <c:axId val="322747776"/>
      </c:barChart>
      <c:catAx>
        <c:axId val="322746240"/>
        <c:scaling>
          <c:orientation val="minMax"/>
        </c:scaling>
        <c:delete val="0"/>
        <c:axPos val="b"/>
        <c:majorTickMark val="out"/>
        <c:minorTickMark val="none"/>
        <c:tickLblPos val="nextTo"/>
        <c:crossAx val="322747776"/>
        <c:crosses val="autoZero"/>
        <c:auto val="1"/>
        <c:lblAlgn val="ctr"/>
        <c:lblOffset val="100"/>
        <c:noMultiLvlLbl val="0"/>
      </c:catAx>
      <c:valAx>
        <c:axId val="322747776"/>
        <c:scaling>
          <c:orientation val="minMax"/>
        </c:scaling>
        <c:delete val="0"/>
        <c:axPos val="l"/>
        <c:majorGridlines/>
        <c:numFmt formatCode="General" sourceLinked="1"/>
        <c:majorTickMark val="out"/>
        <c:minorTickMark val="none"/>
        <c:tickLblPos val="nextTo"/>
        <c:crossAx val="322746240"/>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Patients agreeing to Taper</c:v>
                </c:pt>
              </c:strCache>
            </c:strRef>
          </c:tx>
          <c:invertIfNegative val="0"/>
          <c:cat>
            <c:strRef>
              <c:f>Sheet1!$A$2:$A$5</c:f>
              <c:strCache>
                <c:ptCount val="3"/>
                <c:pt idx="0">
                  <c:v>Pre-tx well-being assestment scores</c:v>
                </c:pt>
                <c:pt idx="2">
                  <c:v>Post-Tx well-being assestment scores</c:v>
                </c:pt>
              </c:strCache>
            </c:strRef>
          </c:cat>
          <c:val>
            <c:numRef>
              <c:f>Sheet1!$B$2:$B$5</c:f>
              <c:numCache>
                <c:formatCode>General</c:formatCode>
                <c:ptCount val="4"/>
                <c:pt idx="0">
                  <c:v>6.76</c:v>
                </c:pt>
                <c:pt idx="2">
                  <c:v>24.05</c:v>
                </c:pt>
              </c:numCache>
            </c:numRef>
          </c:val>
        </c:ser>
        <c:ser>
          <c:idx val="1"/>
          <c:order val="1"/>
          <c:tx>
            <c:strRef>
              <c:f>Sheet1!$C$1</c:f>
              <c:strCache>
                <c:ptCount val="1"/>
                <c:pt idx="0">
                  <c:v>Patients not on Taper</c:v>
                </c:pt>
              </c:strCache>
            </c:strRef>
          </c:tx>
          <c:invertIfNegative val="0"/>
          <c:cat>
            <c:strRef>
              <c:f>Sheet1!$A$2:$A$5</c:f>
              <c:strCache>
                <c:ptCount val="3"/>
                <c:pt idx="0">
                  <c:v>Pre-tx well-being assestment scores</c:v>
                </c:pt>
                <c:pt idx="2">
                  <c:v>Post-Tx well-being assestment scores</c:v>
                </c:pt>
              </c:strCache>
            </c:strRef>
          </c:cat>
          <c:val>
            <c:numRef>
              <c:f>Sheet1!$C$2:$C$5</c:f>
              <c:numCache>
                <c:formatCode>General</c:formatCode>
                <c:ptCount val="4"/>
                <c:pt idx="0">
                  <c:v>6.2</c:v>
                </c:pt>
                <c:pt idx="2">
                  <c:v>23.28</c:v>
                </c:pt>
              </c:numCache>
            </c:numRef>
          </c:val>
        </c:ser>
        <c:dLbls>
          <c:showLegendKey val="0"/>
          <c:showVal val="0"/>
          <c:showCatName val="0"/>
          <c:showSerName val="0"/>
          <c:showPercent val="0"/>
          <c:showBubbleSize val="0"/>
        </c:dLbls>
        <c:gapWidth val="150"/>
        <c:axId val="327651328"/>
        <c:axId val="327652864"/>
      </c:barChart>
      <c:catAx>
        <c:axId val="327651328"/>
        <c:scaling>
          <c:orientation val="minMax"/>
        </c:scaling>
        <c:delete val="0"/>
        <c:axPos val="b"/>
        <c:majorTickMark val="out"/>
        <c:minorTickMark val="none"/>
        <c:tickLblPos val="nextTo"/>
        <c:crossAx val="327652864"/>
        <c:crosses val="autoZero"/>
        <c:auto val="1"/>
        <c:lblAlgn val="ctr"/>
        <c:lblOffset val="100"/>
        <c:noMultiLvlLbl val="0"/>
      </c:catAx>
      <c:valAx>
        <c:axId val="327652864"/>
        <c:scaling>
          <c:orientation val="minMax"/>
        </c:scaling>
        <c:delete val="0"/>
        <c:axPos val="l"/>
        <c:majorGridlines/>
        <c:numFmt formatCode="General" sourceLinked="1"/>
        <c:majorTickMark val="out"/>
        <c:minorTickMark val="none"/>
        <c:tickLblPos val="nextTo"/>
        <c:crossAx val="327651328"/>
        <c:crosses val="autoZero"/>
        <c:crossBetween val="between"/>
      </c:valAx>
    </c:plotArea>
    <c:legend>
      <c:legendPos val="r"/>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1541</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cp:lastPrinted>2018-09-16T14:48:00Z</cp:lastPrinted>
  <dcterms:created xsi:type="dcterms:W3CDTF">2018-09-16T14:50:00Z</dcterms:created>
  <dcterms:modified xsi:type="dcterms:W3CDTF">2018-09-16T14:50:00Z</dcterms:modified>
</cp:coreProperties>
</file>