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F9F" w:rsidRPr="00F56F9F" w:rsidRDefault="00F56F9F" w:rsidP="002D077C">
      <w:bookmarkStart w:id="0" w:name="_GoBack"/>
      <w:r w:rsidRPr="00F56F9F">
        <w:t xml:space="preserve">Title: Development of Iatrogenic </w:t>
      </w:r>
      <w:r>
        <w:t>Cushing</w:t>
      </w:r>
      <w:r w:rsidRPr="00F56F9F">
        <w:t>’s syndrome in a patient on Anti-Retroviral Therapy</w:t>
      </w:r>
    </w:p>
    <w:bookmarkEnd w:id="0"/>
    <w:p w:rsidR="00F56F9F" w:rsidRPr="00F56F9F" w:rsidRDefault="00F56F9F" w:rsidP="00F56F9F">
      <w:pPr>
        <w:rPr>
          <w:rFonts w:ascii="Times New Roman" w:hAnsi="Times New Roman" w:cs="Times New Roman"/>
          <w:sz w:val="27"/>
          <w:szCs w:val="27"/>
        </w:rPr>
      </w:pPr>
      <w:r w:rsidRPr="00F56F9F">
        <w:rPr>
          <w:rFonts w:ascii="Times New Roman" w:hAnsi="Times New Roman" w:cs="Times New Roman"/>
          <w:sz w:val="27"/>
          <w:szCs w:val="27"/>
        </w:rPr>
        <w:t xml:space="preserve">Authors: </w:t>
      </w:r>
      <w:proofErr w:type="spellStart"/>
      <w:r w:rsidRPr="00F56F9F">
        <w:rPr>
          <w:rFonts w:ascii="Times New Roman" w:hAnsi="Times New Roman" w:cs="Times New Roman"/>
          <w:sz w:val="27"/>
          <w:szCs w:val="27"/>
        </w:rPr>
        <w:t>Vedha</w:t>
      </w:r>
      <w:proofErr w:type="spellEnd"/>
      <w:r w:rsidRPr="00F56F9F">
        <w:rPr>
          <w:rFonts w:ascii="Times New Roman" w:hAnsi="Times New Roman" w:cs="Times New Roman"/>
          <w:sz w:val="27"/>
          <w:szCs w:val="27"/>
        </w:rPr>
        <w:t xml:space="preserve"> </w:t>
      </w:r>
      <w:proofErr w:type="spellStart"/>
      <w:r w:rsidRPr="00F56F9F">
        <w:rPr>
          <w:rFonts w:ascii="Times New Roman" w:hAnsi="Times New Roman" w:cs="Times New Roman"/>
          <w:sz w:val="27"/>
          <w:szCs w:val="27"/>
        </w:rPr>
        <w:t>Sanghi</w:t>
      </w:r>
      <w:proofErr w:type="spellEnd"/>
      <w:r w:rsidRPr="00F56F9F">
        <w:rPr>
          <w:rFonts w:ascii="Times New Roman" w:hAnsi="Times New Roman" w:cs="Times New Roman"/>
          <w:sz w:val="27"/>
          <w:szCs w:val="27"/>
        </w:rPr>
        <w:t>, MD</w:t>
      </w:r>
      <w:r w:rsidRPr="00F56F9F">
        <w:rPr>
          <w:rFonts w:ascii="Times New Roman" w:hAnsi="Times New Roman" w:cs="Times New Roman"/>
          <w:sz w:val="27"/>
          <w:szCs w:val="27"/>
          <w:vertAlign w:val="superscript"/>
        </w:rPr>
        <w:t>1</w:t>
      </w:r>
      <w:r w:rsidRPr="00F56F9F">
        <w:rPr>
          <w:rFonts w:ascii="Times New Roman" w:hAnsi="Times New Roman" w:cs="Times New Roman"/>
          <w:sz w:val="27"/>
          <w:szCs w:val="27"/>
        </w:rPr>
        <w:t>, Puja S. Van Epps, MD</w:t>
      </w:r>
      <w:r w:rsidRPr="00F56F9F">
        <w:rPr>
          <w:rFonts w:ascii="Times New Roman" w:hAnsi="Times New Roman" w:cs="Times New Roman"/>
          <w:sz w:val="27"/>
          <w:szCs w:val="27"/>
          <w:vertAlign w:val="superscript"/>
        </w:rPr>
        <w:t>2</w:t>
      </w:r>
      <w:r w:rsidRPr="00F56F9F">
        <w:rPr>
          <w:rFonts w:ascii="Times New Roman" w:hAnsi="Times New Roman" w:cs="Times New Roman"/>
          <w:sz w:val="27"/>
          <w:szCs w:val="27"/>
        </w:rPr>
        <w:t xml:space="preserve">, </w:t>
      </w:r>
      <w:proofErr w:type="spellStart"/>
      <w:r w:rsidRPr="00F56F9F">
        <w:rPr>
          <w:rFonts w:ascii="Times New Roman" w:hAnsi="Times New Roman" w:cs="Times New Roman"/>
          <w:sz w:val="27"/>
          <w:szCs w:val="27"/>
        </w:rPr>
        <w:t>Aman</w:t>
      </w:r>
      <w:proofErr w:type="spellEnd"/>
      <w:r w:rsidRPr="00F56F9F">
        <w:rPr>
          <w:rFonts w:ascii="Times New Roman" w:hAnsi="Times New Roman" w:cs="Times New Roman"/>
          <w:sz w:val="27"/>
          <w:szCs w:val="27"/>
        </w:rPr>
        <w:t xml:space="preserve"> </w:t>
      </w:r>
      <w:proofErr w:type="spellStart"/>
      <w:r w:rsidRPr="00F56F9F">
        <w:rPr>
          <w:rFonts w:ascii="Times New Roman" w:hAnsi="Times New Roman" w:cs="Times New Roman"/>
          <w:sz w:val="27"/>
          <w:szCs w:val="27"/>
        </w:rPr>
        <w:t>Rajpal</w:t>
      </w:r>
      <w:proofErr w:type="spellEnd"/>
      <w:r w:rsidRPr="00F56F9F">
        <w:rPr>
          <w:rFonts w:ascii="Times New Roman" w:hAnsi="Times New Roman" w:cs="Times New Roman"/>
          <w:sz w:val="27"/>
          <w:szCs w:val="27"/>
        </w:rPr>
        <w:t>, MD</w:t>
      </w:r>
      <w:r w:rsidRPr="00F56F9F">
        <w:rPr>
          <w:rFonts w:ascii="Times New Roman" w:hAnsi="Times New Roman" w:cs="Times New Roman"/>
          <w:sz w:val="27"/>
          <w:szCs w:val="27"/>
          <w:vertAlign w:val="superscript"/>
        </w:rPr>
        <w:t>3</w:t>
      </w:r>
    </w:p>
    <w:p w:rsidR="00F56F9F" w:rsidRPr="00F56F9F" w:rsidRDefault="00F56F9F" w:rsidP="00F56F9F">
      <w:pPr>
        <w:rPr>
          <w:rFonts w:ascii="Times New Roman" w:hAnsi="Times New Roman" w:cs="Times New Roman"/>
          <w:sz w:val="27"/>
          <w:szCs w:val="27"/>
        </w:rPr>
      </w:pPr>
      <w:r w:rsidRPr="00F56F9F">
        <w:rPr>
          <w:rFonts w:ascii="Times New Roman" w:hAnsi="Times New Roman" w:cs="Times New Roman"/>
          <w:sz w:val="27"/>
          <w:szCs w:val="27"/>
        </w:rPr>
        <w:t>1 Cleveland Clinic Foundation, OH (Internal medicine); 2 Cleveland Veteran Affairs Medical Center, OH (Infectious diseases); 3 Cleveland Veteran Affairs Medical Center, OH (Endocrinology)</w:t>
      </w:r>
    </w:p>
    <w:p w:rsidR="00F56F9F" w:rsidRPr="00F56F9F" w:rsidRDefault="00F56F9F" w:rsidP="00F56F9F">
      <w:pPr>
        <w:shd w:val="clear" w:color="auto" w:fill="FFFFFF"/>
        <w:spacing w:after="0" w:line="240" w:lineRule="auto"/>
        <w:rPr>
          <w:rFonts w:ascii="Times New Roman" w:eastAsia="Times New Roman" w:hAnsi="Times New Roman" w:cs="Times New Roman"/>
          <w:sz w:val="27"/>
          <w:szCs w:val="27"/>
        </w:rPr>
      </w:pPr>
      <w:r w:rsidRPr="00F56F9F">
        <w:rPr>
          <w:rFonts w:ascii="Times New Roman" w:eastAsia="Times New Roman" w:hAnsi="Times New Roman" w:cs="Times New Roman"/>
          <w:sz w:val="27"/>
          <w:szCs w:val="27"/>
        </w:rPr>
        <w:t>Introduction</w:t>
      </w:r>
    </w:p>
    <w:p w:rsidR="00F56F9F" w:rsidRPr="00F56F9F" w:rsidRDefault="00F56F9F" w:rsidP="00F56F9F">
      <w:pPr>
        <w:shd w:val="clear" w:color="auto" w:fill="FFFFFF"/>
        <w:spacing w:after="0" w:line="240" w:lineRule="auto"/>
        <w:rPr>
          <w:rFonts w:ascii="Times New Roman" w:eastAsia="Times New Roman" w:hAnsi="Times New Roman" w:cs="Times New Roman"/>
          <w:sz w:val="27"/>
          <w:szCs w:val="27"/>
        </w:rPr>
      </w:pPr>
      <w:r w:rsidRPr="00F56F9F">
        <w:rPr>
          <w:rFonts w:ascii="Times New Roman" w:eastAsia="Times New Roman" w:hAnsi="Times New Roman" w:cs="Times New Roman"/>
          <w:sz w:val="27"/>
          <w:szCs w:val="27"/>
        </w:rPr>
        <w:t xml:space="preserve">Glucocorticoids (GC) are used for variety of indications in human immune deficiency virus (HIV) infected population, including chronic respiratory diseases and musculoskeletal conditions. A majority of prescribed and endogenous GC are metabolized by cytochrome-P450. Antiretroviral therapy (ART) used for the treatment of HIV infection can have significant interaction with other drugs. ART combinations include pharmacologic boosting agents that inhibit cytochrome-P450, thus increasing the plasma levels of these drugs. Subsequent increase in plasma concentrations of the prescribed GC can induce iatrogenic Cushing’s syndrome (ICS) and through the hypothalamic pituitary adrenal (HPA) axis feedback mechanism, ICS leads to secondary adrenal suppression and low endogenous cortisol levels. There are multiple reports in HIV patients developing ICS and adrenal insufficiency as a result of drug-drug-interactions with inhaled or intranasal GC therapy. But </w:t>
      </w:r>
      <w:proofErr w:type="spellStart"/>
      <w:r w:rsidRPr="00F56F9F">
        <w:rPr>
          <w:rFonts w:ascii="Times New Roman" w:eastAsia="Times New Roman" w:hAnsi="Times New Roman" w:cs="Times New Roman"/>
          <w:sz w:val="27"/>
          <w:szCs w:val="27"/>
        </w:rPr>
        <w:t>repor</w:t>
      </w:r>
      <w:proofErr w:type="spellEnd"/>
      <w:r w:rsidRPr="00F56F9F">
        <w:rPr>
          <w:rFonts w:ascii="Times New Roman" w:eastAsia="Times New Roman" w:hAnsi="Times New Roman" w:cs="Times New Roman"/>
          <w:sz w:val="27"/>
          <w:szCs w:val="27"/>
        </w:rPr>
        <w:t xml:space="preserve"> </w:t>
      </w:r>
      <w:proofErr w:type="spellStart"/>
      <w:r w:rsidRPr="00F56F9F">
        <w:rPr>
          <w:rFonts w:ascii="Times New Roman" w:eastAsia="Times New Roman" w:hAnsi="Times New Roman" w:cs="Times New Roman"/>
          <w:sz w:val="27"/>
          <w:szCs w:val="27"/>
        </w:rPr>
        <w:t>ts</w:t>
      </w:r>
      <w:proofErr w:type="spellEnd"/>
      <w:r w:rsidRPr="00F56F9F">
        <w:rPr>
          <w:rFonts w:ascii="Times New Roman" w:eastAsia="Times New Roman" w:hAnsi="Times New Roman" w:cs="Times New Roman"/>
          <w:sz w:val="27"/>
          <w:szCs w:val="27"/>
        </w:rPr>
        <w:t xml:space="preserve"> related to intra-articular triamcinolone injections causing ICS are relatively uncommon.</w:t>
      </w:r>
      <w:r w:rsidRPr="00F56F9F">
        <w:rPr>
          <w:rFonts w:ascii="Times New Roman" w:eastAsia="Times New Roman" w:hAnsi="Times New Roman" w:cs="Times New Roman"/>
          <w:sz w:val="27"/>
          <w:szCs w:val="27"/>
        </w:rPr>
        <w:br/>
      </w:r>
      <w:r w:rsidRPr="00F56F9F">
        <w:rPr>
          <w:rFonts w:ascii="Times New Roman" w:eastAsia="Times New Roman" w:hAnsi="Times New Roman" w:cs="Times New Roman"/>
          <w:sz w:val="27"/>
          <w:szCs w:val="27"/>
        </w:rPr>
        <w:br/>
        <w:t>Case report</w:t>
      </w:r>
    </w:p>
    <w:p w:rsidR="00F56F9F" w:rsidRPr="00F56F9F" w:rsidRDefault="00F56F9F" w:rsidP="00F56F9F">
      <w:pPr>
        <w:shd w:val="clear" w:color="auto" w:fill="FFFFFF"/>
        <w:spacing w:after="0" w:line="240" w:lineRule="auto"/>
        <w:rPr>
          <w:rFonts w:ascii="Times New Roman" w:eastAsia="Times New Roman" w:hAnsi="Times New Roman" w:cs="Times New Roman"/>
          <w:sz w:val="27"/>
          <w:szCs w:val="27"/>
        </w:rPr>
      </w:pPr>
      <w:r w:rsidRPr="00F56F9F">
        <w:rPr>
          <w:rFonts w:ascii="Times New Roman" w:eastAsia="Times New Roman" w:hAnsi="Times New Roman" w:cs="Times New Roman"/>
          <w:sz w:val="27"/>
          <w:szCs w:val="27"/>
        </w:rPr>
        <w:t xml:space="preserve">We describe a 55-year-old white female with acquired HIV infection on a single tablet regimen </w:t>
      </w:r>
      <w:proofErr w:type="spellStart"/>
      <w:r w:rsidRPr="00F56F9F">
        <w:rPr>
          <w:rFonts w:ascii="Times New Roman" w:eastAsia="Times New Roman" w:hAnsi="Times New Roman" w:cs="Times New Roman"/>
          <w:sz w:val="27"/>
          <w:szCs w:val="27"/>
        </w:rPr>
        <w:t>Genvoya</w:t>
      </w:r>
      <w:proofErr w:type="spellEnd"/>
      <w:r w:rsidRPr="00F56F9F">
        <w:rPr>
          <w:rFonts w:ascii="Times New Roman" w:eastAsia="Times New Roman" w:hAnsi="Times New Roman" w:cs="Times New Roman"/>
          <w:sz w:val="27"/>
          <w:szCs w:val="27"/>
        </w:rPr>
        <w:t>™ (</w:t>
      </w:r>
      <w:proofErr w:type="spellStart"/>
      <w:r w:rsidRPr="00F56F9F">
        <w:rPr>
          <w:rFonts w:ascii="Times New Roman" w:eastAsia="Times New Roman" w:hAnsi="Times New Roman" w:cs="Times New Roman"/>
          <w:sz w:val="27"/>
          <w:szCs w:val="27"/>
        </w:rPr>
        <w:t>Elvitegravir</w:t>
      </w:r>
      <w:proofErr w:type="spellEnd"/>
      <w:r w:rsidRPr="00F56F9F">
        <w:rPr>
          <w:rFonts w:ascii="Times New Roman" w:eastAsia="Times New Roman" w:hAnsi="Times New Roman" w:cs="Times New Roman"/>
          <w:sz w:val="27"/>
          <w:szCs w:val="27"/>
        </w:rPr>
        <w:t xml:space="preserve">, </w:t>
      </w:r>
      <w:proofErr w:type="spellStart"/>
      <w:r w:rsidRPr="00F56F9F">
        <w:rPr>
          <w:rFonts w:ascii="Times New Roman" w:eastAsia="Times New Roman" w:hAnsi="Times New Roman" w:cs="Times New Roman"/>
          <w:sz w:val="27"/>
          <w:szCs w:val="27"/>
        </w:rPr>
        <w:t>Cobicistat</w:t>
      </w:r>
      <w:proofErr w:type="spellEnd"/>
      <w:r w:rsidRPr="00F56F9F">
        <w:rPr>
          <w:rFonts w:ascii="Times New Roman" w:eastAsia="Times New Roman" w:hAnsi="Times New Roman" w:cs="Times New Roman"/>
          <w:sz w:val="27"/>
          <w:szCs w:val="27"/>
        </w:rPr>
        <w:t xml:space="preserve">, </w:t>
      </w:r>
      <w:proofErr w:type="spellStart"/>
      <w:r w:rsidRPr="00F56F9F">
        <w:rPr>
          <w:rFonts w:ascii="Times New Roman" w:eastAsia="Times New Roman" w:hAnsi="Times New Roman" w:cs="Times New Roman"/>
          <w:sz w:val="27"/>
          <w:szCs w:val="27"/>
        </w:rPr>
        <w:t>Emtricitabine</w:t>
      </w:r>
      <w:proofErr w:type="spellEnd"/>
      <w:r w:rsidRPr="00F56F9F">
        <w:rPr>
          <w:rFonts w:ascii="Times New Roman" w:eastAsia="Times New Roman" w:hAnsi="Times New Roman" w:cs="Times New Roman"/>
          <w:sz w:val="27"/>
          <w:szCs w:val="27"/>
        </w:rPr>
        <w:t xml:space="preserve">, and </w:t>
      </w:r>
      <w:proofErr w:type="spellStart"/>
      <w:r w:rsidRPr="00F56F9F">
        <w:rPr>
          <w:rFonts w:ascii="Times New Roman" w:eastAsia="Times New Roman" w:hAnsi="Times New Roman" w:cs="Times New Roman"/>
          <w:sz w:val="27"/>
          <w:szCs w:val="27"/>
        </w:rPr>
        <w:t>Tenofovir-Alafenamide</w:t>
      </w:r>
      <w:proofErr w:type="spellEnd"/>
      <w:r w:rsidRPr="00F56F9F">
        <w:rPr>
          <w:rFonts w:ascii="Times New Roman" w:eastAsia="Times New Roman" w:hAnsi="Times New Roman" w:cs="Times New Roman"/>
          <w:sz w:val="27"/>
          <w:szCs w:val="27"/>
        </w:rPr>
        <w:t xml:space="preserve">) who was hospitalized following a road traffic accident requiring knee surgery. Post-operative course was complicated by joint infection requiring intravenous </w:t>
      </w:r>
      <w:proofErr w:type="spellStart"/>
      <w:r w:rsidRPr="00F56F9F">
        <w:rPr>
          <w:rFonts w:ascii="Times New Roman" w:eastAsia="Times New Roman" w:hAnsi="Times New Roman" w:cs="Times New Roman"/>
          <w:sz w:val="27"/>
          <w:szCs w:val="27"/>
        </w:rPr>
        <w:t>ertapenem</w:t>
      </w:r>
      <w:proofErr w:type="spellEnd"/>
      <w:r w:rsidRPr="00F56F9F">
        <w:rPr>
          <w:rFonts w:ascii="Times New Roman" w:eastAsia="Times New Roman" w:hAnsi="Times New Roman" w:cs="Times New Roman"/>
          <w:sz w:val="27"/>
          <w:szCs w:val="27"/>
        </w:rPr>
        <w:t xml:space="preserve"> for three months. Due to persistent knee pain, she received 40 mg triamcinolone-acetate intra-articular injection every 3 months for a total of three injections. She presented seven months later with symptoms including new onset diabetes, hypertension, fatigue, easy bruising and poor wound healing. On physical examination, she appeared obese with moon facies, buffalo hump, supraclavicular fullness, facial flushing and multiple ecchymosis over extremities. On laboratory evaluation, HIV viral load remained undetectable since onset of ART and CD4 count was within normal range. Endocrine workup showed suppressed endogenous HPA axis [low cortisol (1.1 u g/</w:t>
      </w:r>
      <w:proofErr w:type="spellStart"/>
      <w:r w:rsidRPr="00F56F9F">
        <w:rPr>
          <w:rFonts w:ascii="Times New Roman" w:eastAsia="Times New Roman" w:hAnsi="Times New Roman" w:cs="Times New Roman"/>
          <w:sz w:val="27"/>
          <w:szCs w:val="27"/>
        </w:rPr>
        <w:t>dL</w:t>
      </w:r>
      <w:proofErr w:type="spellEnd"/>
      <w:r w:rsidRPr="00F56F9F">
        <w:rPr>
          <w:rFonts w:ascii="Times New Roman" w:eastAsia="Times New Roman" w:hAnsi="Times New Roman" w:cs="Times New Roman"/>
          <w:sz w:val="27"/>
          <w:szCs w:val="27"/>
        </w:rPr>
        <w:t xml:space="preserve">) with low ACTH levels (1.1pg/mL)], thus confirming ICS. Due to concern for drug-drug-interaction between the </w:t>
      </w:r>
      <w:proofErr w:type="spellStart"/>
      <w:r w:rsidRPr="00F56F9F">
        <w:rPr>
          <w:rFonts w:ascii="Times New Roman" w:eastAsia="Times New Roman" w:hAnsi="Times New Roman" w:cs="Times New Roman"/>
          <w:sz w:val="27"/>
          <w:szCs w:val="27"/>
        </w:rPr>
        <w:t>Cobicistat</w:t>
      </w:r>
      <w:proofErr w:type="spellEnd"/>
      <w:r w:rsidRPr="00F56F9F">
        <w:rPr>
          <w:rFonts w:ascii="Times New Roman" w:eastAsia="Times New Roman" w:hAnsi="Times New Roman" w:cs="Times New Roman"/>
          <w:sz w:val="27"/>
          <w:szCs w:val="27"/>
        </w:rPr>
        <w:t xml:space="preserve"> component of her ART regimen and intra-articular GC, </w:t>
      </w:r>
      <w:proofErr w:type="spellStart"/>
      <w:r w:rsidRPr="00F56F9F">
        <w:rPr>
          <w:rFonts w:ascii="Times New Roman" w:eastAsia="Times New Roman" w:hAnsi="Times New Roman" w:cs="Times New Roman"/>
          <w:sz w:val="27"/>
          <w:szCs w:val="27"/>
        </w:rPr>
        <w:t>Genvoya</w:t>
      </w:r>
      <w:proofErr w:type="spellEnd"/>
      <w:r w:rsidRPr="00F56F9F">
        <w:rPr>
          <w:rFonts w:ascii="Times New Roman" w:eastAsia="Times New Roman" w:hAnsi="Times New Roman" w:cs="Times New Roman"/>
          <w:sz w:val="27"/>
          <w:szCs w:val="27"/>
        </w:rPr>
        <w:t xml:space="preserve">™ was switched to </w:t>
      </w:r>
      <w:proofErr w:type="spellStart"/>
      <w:r w:rsidRPr="00F56F9F">
        <w:rPr>
          <w:rFonts w:ascii="Times New Roman" w:eastAsia="Times New Roman" w:hAnsi="Times New Roman" w:cs="Times New Roman"/>
          <w:sz w:val="27"/>
          <w:szCs w:val="27"/>
        </w:rPr>
        <w:t>Dolutegravir</w:t>
      </w:r>
      <w:proofErr w:type="spellEnd"/>
      <w:r w:rsidRPr="00F56F9F">
        <w:rPr>
          <w:rFonts w:ascii="Times New Roman" w:eastAsia="Times New Roman" w:hAnsi="Times New Roman" w:cs="Times New Roman"/>
          <w:sz w:val="27"/>
          <w:szCs w:val="27"/>
        </w:rPr>
        <w:t xml:space="preserve"> and </w:t>
      </w:r>
      <w:proofErr w:type="spellStart"/>
      <w:r w:rsidRPr="00F56F9F">
        <w:rPr>
          <w:rFonts w:ascii="Times New Roman" w:eastAsia="Times New Roman" w:hAnsi="Times New Roman" w:cs="Times New Roman"/>
          <w:sz w:val="27"/>
          <w:szCs w:val="27"/>
        </w:rPr>
        <w:t>Emtricitabine</w:t>
      </w:r>
      <w:proofErr w:type="spellEnd"/>
      <w:r w:rsidRPr="00F56F9F">
        <w:rPr>
          <w:rFonts w:ascii="Times New Roman" w:eastAsia="Times New Roman" w:hAnsi="Times New Roman" w:cs="Times New Roman"/>
          <w:sz w:val="27"/>
          <w:szCs w:val="27"/>
        </w:rPr>
        <w:t>/</w:t>
      </w:r>
      <w:proofErr w:type="spellStart"/>
      <w:r w:rsidRPr="00F56F9F">
        <w:rPr>
          <w:rFonts w:ascii="Times New Roman" w:eastAsia="Times New Roman" w:hAnsi="Times New Roman" w:cs="Times New Roman"/>
          <w:sz w:val="27"/>
          <w:szCs w:val="27"/>
        </w:rPr>
        <w:t>Tenofovir-alafenamide</w:t>
      </w:r>
      <w:proofErr w:type="spellEnd"/>
      <w:r w:rsidRPr="00F56F9F">
        <w:rPr>
          <w:rFonts w:ascii="Times New Roman" w:eastAsia="Times New Roman" w:hAnsi="Times New Roman" w:cs="Times New Roman"/>
          <w:sz w:val="27"/>
          <w:szCs w:val="27"/>
        </w:rPr>
        <w:t xml:space="preserve"> and intraarticular GC administration was discontinued. Upon re-evaluation six months later, her symptoms improved significantly and she did not require hydrocortisone replacement. In conclusion, she </w:t>
      </w:r>
      <w:r w:rsidRPr="00F56F9F">
        <w:rPr>
          <w:rFonts w:ascii="Times New Roman" w:eastAsia="Times New Roman" w:hAnsi="Times New Roman" w:cs="Times New Roman"/>
          <w:sz w:val="27"/>
          <w:szCs w:val="27"/>
        </w:rPr>
        <w:lastRenderedPageBreak/>
        <w:t xml:space="preserve">developed ICS followed by secondary adrenal suppression due to systemic absorption of triamcinolone-acetate and decreased CYP3A metabolism by </w:t>
      </w:r>
      <w:proofErr w:type="spellStart"/>
      <w:r w:rsidRPr="00F56F9F">
        <w:rPr>
          <w:rFonts w:ascii="Times New Roman" w:eastAsia="Times New Roman" w:hAnsi="Times New Roman" w:cs="Times New Roman"/>
          <w:sz w:val="27"/>
          <w:szCs w:val="27"/>
        </w:rPr>
        <w:t>cobicistat</w:t>
      </w:r>
      <w:proofErr w:type="spellEnd"/>
      <w:r w:rsidRPr="00F56F9F">
        <w:rPr>
          <w:rFonts w:ascii="Times New Roman" w:eastAsia="Times New Roman" w:hAnsi="Times New Roman" w:cs="Times New Roman"/>
          <w:sz w:val="27"/>
          <w:szCs w:val="27"/>
        </w:rPr>
        <w:t>.</w:t>
      </w:r>
      <w:r w:rsidRPr="00F56F9F">
        <w:rPr>
          <w:rFonts w:ascii="Times New Roman" w:eastAsia="Times New Roman" w:hAnsi="Times New Roman" w:cs="Times New Roman"/>
          <w:sz w:val="27"/>
          <w:szCs w:val="27"/>
        </w:rPr>
        <w:br/>
      </w:r>
    </w:p>
    <w:p w:rsidR="00F56F9F" w:rsidRPr="00F56F9F" w:rsidRDefault="00F56F9F" w:rsidP="00F56F9F">
      <w:pPr>
        <w:shd w:val="clear" w:color="auto" w:fill="FFFFFF"/>
        <w:spacing w:after="0" w:line="240" w:lineRule="auto"/>
        <w:rPr>
          <w:rFonts w:ascii="Times New Roman" w:eastAsia="Times New Roman" w:hAnsi="Times New Roman" w:cs="Times New Roman"/>
          <w:sz w:val="27"/>
          <w:szCs w:val="27"/>
        </w:rPr>
      </w:pPr>
      <w:r w:rsidRPr="00F56F9F">
        <w:rPr>
          <w:rFonts w:ascii="Times New Roman" w:eastAsia="Times New Roman" w:hAnsi="Times New Roman" w:cs="Times New Roman"/>
          <w:sz w:val="27"/>
          <w:szCs w:val="27"/>
        </w:rPr>
        <w:t>Conclusion</w:t>
      </w:r>
      <w:r w:rsidRPr="00F56F9F">
        <w:rPr>
          <w:rFonts w:ascii="Times New Roman" w:eastAsia="Times New Roman" w:hAnsi="Times New Roman" w:cs="Times New Roman"/>
          <w:sz w:val="27"/>
          <w:szCs w:val="27"/>
        </w:rPr>
        <w:br/>
      </w:r>
      <w:proofErr w:type="spellStart"/>
      <w:r w:rsidRPr="00F56F9F">
        <w:rPr>
          <w:rFonts w:ascii="Times New Roman" w:eastAsia="Times New Roman" w:hAnsi="Times New Roman" w:cs="Times New Roman"/>
          <w:sz w:val="27"/>
          <w:szCs w:val="27"/>
        </w:rPr>
        <w:t>Cobicistat</w:t>
      </w:r>
      <w:proofErr w:type="spellEnd"/>
      <w:r w:rsidRPr="00F56F9F">
        <w:rPr>
          <w:rFonts w:ascii="Times New Roman" w:eastAsia="Times New Roman" w:hAnsi="Times New Roman" w:cs="Times New Roman"/>
          <w:sz w:val="27"/>
          <w:szCs w:val="27"/>
        </w:rPr>
        <w:t xml:space="preserve"> and ritonavir are pharmacokinetic boosters that prolong the action of other ART drugs via CYP3A inhibition that also enhances GC affect. The effect of </w:t>
      </w:r>
      <w:proofErr w:type="spellStart"/>
      <w:r w:rsidRPr="00F56F9F">
        <w:rPr>
          <w:rFonts w:ascii="Times New Roman" w:eastAsia="Times New Roman" w:hAnsi="Times New Roman" w:cs="Times New Roman"/>
          <w:sz w:val="27"/>
          <w:szCs w:val="27"/>
        </w:rPr>
        <w:t>cobicistat</w:t>
      </w:r>
      <w:proofErr w:type="spellEnd"/>
      <w:r w:rsidRPr="00F56F9F">
        <w:rPr>
          <w:rFonts w:ascii="Times New Roman" w:eastAsia="Times New Roman" w:hAnsi="Times New Roman" w:cs="Times New Roman"/>
          <w:sz w:val="27"/>
          <w:szCs w:val="27"/>
        </w:rPr>
        <w:t xml:space="preserve"> is not widely known compared to ritonavir. The potential for interaction with GC can occur with any non-systemic routes of administration (intra-nasal, inhaled or intra-articular) and when used together, patients should be monitored for ICS and secondary adrenal insufficiency. We emphasize the importance of awareness of serious drug-drug-interactions before introducing new medications in patients on ART.</w:t>
      </w:r>
    </w:p>
    <w:p w:rsidR="00D4782D" w:rsidRPr="00F56F9F" w:rsidRDefault="00D4782D"/>
    <w:sectPr w:rsidR="00D4782D" w:rsidRPr="00F56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F9F"/>
    <w:rsid w:val="002D077C"/>
    <w:rsid w:val="00D4782D"/>
    <w:rsid w:val="00F56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6F9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6F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08237">
      <w:bodyDiv w:val="1"/>
      <w:marLeft w:val="0"/>
      <w:marRight w:val="0"/>
      <w:marTop w:val="0"/>
      <w:marBottom w:val="0"/>
      <w:divBdr>
        <w:top w:val="none" w:sz="0" w:space="0" w:color="auto"/>
        <w:left w:val="none" w:sz="0" w:space="0" w:color="auto"/>
        <w:bottom w:val="none" w:sz="0" w:space="0" w:color="auto"/>
        <w:right w:val="none" w:sz="0" w:space="0" w:color="auto"/>
      </w:divBdr>
      <w:divsChild>
        <w:div w:id="8650863">
          <w:marLeft w:val="0"/>
          <w:marRight w:val="0"/>
          <w:marTop w:val="0"/>
          <w:marBottom w:val="0"/>
          <w:divBdr>
            <w:top w:val="none" w:sz="0" w:space="0" w:color="auto"/>
            <w:left w:val="none" w:sz="0" w:space="0" w:color="auto"/>
            <w:bottom w:val="none" w:sz="0" w:space="0" w:color="auto"/>
            <w:right w:val="none" w:sz="0" w:space="0" w:color="auto"/>
          </w:divBdr>
        </w:div>
        <w:div w:id="923147723">
          <w:marLeft w:val="0"/>
          <w:marRight w:val="0"/>
          <w:marTop w:val="0"/>
          <w:marBottom w:val="0"/>
          <w:divBdr>
            <w:top w:val="none" w:sz="0" w:space="0" w:color="auto"/>
            <w:left w:val="none" w:sz="0" w:space="0" w:color="auto"/>
            <w:bottom w:val="none" w:sz="0" w:space="0" w:color="auto"/>
            <w:right w:val="none" w:sz="0" w:space="0" w:color="auto"/>
          </w:divBdr>
        </w:div>
        <w:div w:id="2004549709">
          <w:marLeft w:val="0"/>
          <w:marRight w:val="0"/>
          <w:marTop w:val="0"/>
          <w:marBottom w:val="0"/>
          <w:divBdr>
            <w:top w:val="none" w:sz="0" w:space="0" w:color="auto"/>
            <w:left w:val="none" w:sz="0" w:space="0" w:color="auto"/>
            <w:bottom w:val="none" w:sz="0" w:space="0" w:color="auto"/>
            <w:right w:val="none" w:sz="0" w:space="0" w:color="auto"/>
          </w:divBdr>
        </w:div>
        <w:div w:id="382220809">
          <w:marLeft w:val="0"/>
          <w:marRight w:val="0"/>
          <w:marTop w:val="0"/>
          <w:marBottom w:val="0"/>
          <w:divBdr>
            <w:top w:val="none" w:sz="0" w:space="0" w:color="auto"/>
            <w:left w:val="none" w:sz="0" w:space="0" w:color="auto"/>
            <w:bottom w:val="none" w:sz="0" w:space="0" w:color="auto"/>
            <w:right w:val="none" w:sz="0" w:space="0" w:color="auto"/>
          </w:divBdr>
        </w:div>
        <w:div w:id="1241913750">
          <w:marLeft w:val="0"/>
          <w:marRight w:val="0"/>
          <w:marTop w:val="0"/>
          <w:marBottom w:val="0"/>
          <w:divBdr>
            <w:top w:val="none" w:sz="0" w:space="0" w:color="auto"/>
            <w:left w:val="none" w:sz="0" w:space="0" w:color="auto"/>
            <w:bottom w:val="none" w:sz="0" w:space="0" w:color="auto"/>
            <w:right w:val="none" w:sz="0" w:space="0" w:color="auto"/>
          </w:divBdr>
          <w:divsChild>
            <w:div w:id="211019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36581">
      <w:bodyDiv w:val="1"/>
      <w:marLeft w:val="0"/>
      <w:marRight w:val="0"/>
      <w:marTop w:val="0"/>
      <w:marBottom w:val="0"/>
      <w:divBdr>
        <w:top w:val="none" w:sz="0" w:space="0" w:color="auto"/>
        <w:left w:val="none" w:sz="0" w:space="0" w:color="auto"/>
        <w:bottom w:val="none" w:sz="0" w:space="0" w:color="auto"/>
        <w:right w:val="none" w:sz="0" w:space="0" w:color="auto"/>
      </w:divBdr>
      <w:divsChild>
        <w:div w:id="441612970">
          <w:marLeft w:val="0"/>
          <w:marRight w:val="0"/>
          <w:marTop w:val="0"/>
          <w:marBottom w:val="0"/>
          <w:divBdr>
            <w:top w:val="none" w:sz="0" w:space="0" w:color="auto"/>
            <w:left w:val="none" w:sz="0" w:space="0" w:color="auto"/>
            <w:bottom w:val="none" w:sz="0" w:space="0" w:color="auto"/>
            <w:right w:val="none" w:sz="0" w:space="0" w:color="auto"/>
          </w:divBdr>
        </w:div>
        <w:div w:id="1792745866">
          <w:marLeft w:val="0"/>
          <w:marRight w:val="0"/>
          <w:marTop w:val="0"/>
          <w:marBottom w:val="0"/>
          <w:divBdr>
            <w:top w:val="none" w:sz="0" w:space="0" w:color="auto"/>
            <w:left w:val="none" w:sz="0" w:space="0" w:color="auto"/>
            <w:bottom w:val="none" w:sz="0" w:space="0" w:color="auto"/>
            <w:right w:val="none" w:sz="0" w:space="0" w:color="auto"/>
          </w:divBdr>
        </w:div>
        <w:div w:id="1058630000">
          <w:marLeft w:val="0"/>
          <w:marRight w:val="0"/>
          <w:marTop w:val="0"/>
          <w:marBottom w:val="0"/>
          <w:divBdr>
            <w:top w:val="none" w:sz="0" w:space="0" w:color="auto"/>
            <w:left w:val="none" w:sz="0" w:space="0" w:color="auto"/>
            <w:bottom w:val="none" w:sz="0" w:space="0" w:color="auto"/>
            <w:right w:val="none" w:sz="0" w:space="0" w:color="auto"/>
          </w:divBdr>
        </w:div>
        <w:div w:id="34043577">
          <w:marLeft w:val="0"/>
          <w:marRight w:val="0"/>
          <w:marTop w:val="0"/>
          <w:marBottom w:val="0"/>
          <w:divBdr>
            <w:top w:val="none" w:sz="0" w:space="0" w:color="auto"/>
            <w:left w:val="none" w:sz="0" w:space="0" w:color="auto"/>
            <w:bottom w:val="none" w:sz="0" w:space="0" w:color="auto"/>
            <w:right w:val="none" w:sz="0" w:space="0" w:color="auto"/>
          </w:divBdr>
        </w:div>
        <w:div w:id="911818809">
          <w:marLeft w:val="0"/>
          <w:marRight w:val="0"/>
          <w:marTop w:val="0"/>
          <w:marBottom w:val="0"/>
          <w:divBdr>
            <w:top w:val="none" w:sz="0" w:space="0" w:color="auto"/>
            <w:left w:val="none" w:sz="0" w:space="0" w:color="auto"/>
            <w:bottom w:val="none" w:sz="0" w:space="0" w:color="auto"/>
            <w:right w:val="none" w:sz="0" w:space="0" w:color="auto"/>
          </w:divBdr>
          <w:divsChild>
            <w:div w:id="14366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vedha sanghi</dc:creator>
  <cp:lastModifiedBy>Binnie</cp:lastModifiedBy>
  <cp:revision>2</cp:revision>
  <cp:lastPrinted>2018-09-22T13:58:00Z</cp:lastPrinted>
  <dcterms:created xsi:type="dcterms:W3CDTF">2018-09-22T14:04:00Z</dcterms:created>
  <dcterms:modified xsi:type="dcterms:W3CDTF">2018-09-22T14:04:00Z</dcterms:modified>
</cp:coreProperties>
</file>