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975C31" w14:textId="77777777" w:rsidR="002E190D" w:rsidRPr="00C81CE3" w:rsidRDefault="002E190D" w:rsidP="002E190D">
      <w:pPr>
        <w:pStyle w:val="Default"/>
        <w:rPr>
          <w:rFonts w:ascii="Arial" w:hAnsi="Arial"/>
          <w:b/>
          <w:sz w:val="20"/>
          <w:szCs w:val="20"/>
        </w:rPr>
      </w:pPr>
      <w:bookmarkStart w:id="0" w:name="_GoBack"/>
      <w:proofErr w:type="spellStart"/>
      <w:r w:rsidRPr="00C81CE3">
        <w:rPr>
          <w:rFonts w:ascii="Arial" w:hAnsi="Arial"/>
          <w:b/>
          <w:sz w:val="20"/>
          <w:szCs w:val="20"/>
        </w:rPr>
        <w:t>Liposorber</w:t>
      </w:r>
      <w:proofErr w:type="spellEnd"/>
      <w:r w:rsidRPr="00C81CE3">
        <w:rPr>
          <w:rFonts w:ascii="Arial" w:hAnsi="Arial"/>
          <w:b/>
          <w:bCs/>
          <w:sz w:val="20"/>
          <w:szCs w:val="20"/>
          <w:vertAlign w:val="superscript"/>
        </w:rPr>
        <w:t>®</w:t>
      </w:r>
      <w:r w:rsidRPr="00C81CE3">
        <w:rPr>
          <w:rFonts w:ascii="Arial" w:hAnsi="Arial"/>
          <w:b/>
          <w:sz w:val="20"/>
          <w:szCs w:val="20"/>
        </w:rPr>
        <w:t xml:space="preserve"> LA-15 system for LDL apheresis in drug resistant primary focal segmental glomerulosclerosis patients: </w:t>
      </w:r>
      <w:bookmarkEnd w:id="0"/>
      <w:r w:rsidRPr="00C81CE3">
        <w:rPr>
          <w:rFonts w:ascii="Arial" w:hAnsi="Arial"/>
          <w:b/>
          <w:sz w:val="20"/>
          <w:szCs w:val="20"/>
        </w:rPr>
        <w:t>Interim results from a prospective, multicenter, single-arm intervention study</w:t>
      </w:r>
    </w:p>
    <w:p w14:paraId="06B8BE2A" w14:textId="77777777" w:rsidR="002E190D" w:rsidRPr="00C81CE3" w:rsidRDefault="002E190D" w:rsidP="002E190D">
      <w:pPr>
        <w:rPr>
          <w:rFonts w:ascii="Arial" w:hAnsi="Arial" w:cs="Times New Roman"/>
          <w:sz w:val="20"/>
          <w:szCs w:val="20"/>
        </w:rPr>
      </w:pPr>
    </w:p>
    <w:p w14:paraId="7863F61F" w14:textId="213DF2A6" w:rsidR="002E190D" w:rsidRPr="00942AED" w:rsidRDefault="00942AED" w:rsidP="002E190D">
      <w:pPr>
        <w:rPr>
          <w:rFonts w:ascii="Arial" w:eastAsia="Times New Roman" w:hAnsi="Arial" w:cs="Times New Roman"/>
          <w:i/>
          <w:sz w:val="20"/>
          <w:szCs w:val="20"/>
          <w:lang w:val="en-TT"/>
        </w:rPr>
      </w:pPr>
      <w:r w:rsidRPr="00A51555">
        <w:rPr>
          <w:rFonts w:ascii="Arial" w:hAnsi="Arial" w:cs="Times New Roman"/>
          <w:b/>
          <w:i/>
          <w:sz w:val="20"/>
          <w:szCs w:val="20"/>
        </w:rPr>
        <w:t>Shyam Polaconda</w:t>
      </w:r>
      <w:r w:rsidRPr="00A51555">
        <w:rPr>
          <w:rFonts w:ascii="Arial" w:hAnsi="Arial" w:cs="Times New Roman"/>
          <w:b/>
          <w:i/>
          <w:sz w:val="20"/>
          <w:szCs w:val="20"/>
          <w:vertAlign w:val="superscript"/>
        </w:rPr>
        <w:t>2</w:t>
      </w:r>
      <w:r w:rsidR="002E190D" w:rsidRPr="00C81CE3">
        <w:rPr>
          <w:rFonts w:ascii="Arial" w:hAnsi="Arial" w:cs="Times New Roman"/>
          <w:i/>
          <w:sz w:val="20"/>
          <w:szCs w:val="20"/>
        </w:rPr>
        <w:t>,</w:t>
      </w:r>
      <w:r w:rsidR="00F270C2" w:rsidRPr="00F270C2">
        <w:rPr>
          <w:rFonts w:ascii="Arial" w:hAnsi="Arial" w:cs="Times New Roman"/>
          <w:i/>
          <w:sz w:val="20"/>
          <w:szCs w:val="20"/>
        </w:rPr>
        <w:t xml:space="preserve"> </w:t>
      </w:r>
      <w:r w:rsidR="00F270C2" w:rsidRPr="00C81CE3">
        <w:rPr>
          <w:rFonts w:ascii="Arial" w:hAnsi="Arial" w:cs="Times New Roman"/>
          <w:i/>
          <w:sz w:val="20"/>
          <w:szCs w:val="20"/>
        </w:rPr>
        <w:t>Vinod Krishnappa</w:t>
      </w:r>
      <w:r w:rsidR="00F270C2" w:rsidRPr="00C81CE3">
        <w:rPr>
          <w:rFonts w:ascii="Arial" w:hAnsi="Arial" w:cs="Times New Roman"/>
          <w:i/>
          <w:sz w:val="20"/>
          <w:szCs w:val="20"/>
          <w:vertAlign w:val="superscript"/>
        </w:rPr>
        <w:t>2</w:t>
      </w:r>
      <w:r w:rsidR="00F270C2">
        <w:rPr>
          <w:rFonts w:ascii="Arial" w:hAnsi="Arial" w:cs="Times New Roman"/>
          <w:i/>
          <w:sz w:val="20"/>
          <w:szCs w:val="20"/>
        </w:rPr>
        <w:t>,</w:t>
      </w:r>
      <w:r w:rsidR="002E190D" w:rsidRPr="00C81CE3">
        <w:rPr>
          <w:rFonts w:ascii="Arial" w:hAnsi="Arial" w:cs="Times New Roman"/>
          <w:i/>
          <w:sz w:val="20"/>
          <w:szCs w:val="20"/>
        </w:rPr>
        <w:t xml:space="preserve"> Cheryl Sanchez-Kazi</w:t>
      </w:r>
      <w:r w:rsidR="002E190D" w:rsidRPr="00C81CE3">
        <w:rPr>
          <w:rFonts w:ascii="Arial" w:hAnsi="Arial" w:cs="Times New Roman"/>
          <w:i/>
          <w:sz w:val="20"/>
          <w:szCs w:val="20"/>
          <w:vertAlign w:val="superscript"/>
        </w:rPr>
        <w:t>3</w:t>
      </w:r>
      <w:r w:rsidR="002E190D" w:rsidRPr="00C81CE3">
        <w:rPr>
          <w:rFonts w:ascii="Arial" w:hAnsi="Arial" w:cs="Times New Roman"/>
          <w:i/>
          <w:sz w:val="20"/>
          <w:szCs w:val="20"/>
        </w:rPr>
        <w:t>, Alejandro Quiroga</w:t>
      </w:r>
      <w:r w:rsidR="002E190D" w:rsidRPr="00C81CE3">
        <w:rPr>
          <w:rFonts w:ascii="Arial" w:hAnsi="Arial" w:cs="Times New Roman"/>
          <w:i/>
          <w:sz w:val="20"/>
          <w:szCs w:val="20"/>
          <w:vertAlign w:val="superscript"/>
        </w:rPr>
        <w:t>4</w:t>
      </w:r>
      <w:r w:rsidR="002E190D" w:rsidRPr="00C81CE3">
        <w:rPr>
          <w:rFonts w:ascii="Arial" w:hAnsi="Arial" w:cs="Times New Roman"/>
          <w:i/>
          <w:sz w:val="20"/>
          <w:szCs w:val="20"/>
        </w:rPr>
        <w:t>, Katherine E. Twombley</w:t>
      </w:r>
      <w:r w:rsidR="002E190D" w:rsidRPr="00C81CE3">
        <w:rPr>
          <w:rFonts w:ascii="Arial" w:hAnsi="Arial" w:cs="Times New Roman"/>
          <w:i/>
          <w:sz w:val="20"/>
          <w:szCs w:val="20"/>
          <w:vertAlign w:val="superscript"/>
        </w:rPr>
        <w:t>5</w:t>
      </w:r>
      <w:r w:rsidR="002E190D" w:rsidRPr="00C81CE3">
        <w:rPr>
          <w:rFonts w:ascii="Arial" w:hAnsi="Arial" w:cs="Times New Roman"/>
          <w:i/>
          <w:sz w:val="20"/>
          <w:szCs w:val="20"/>
        </w:rPr>
        <w:t>, Megan Lo</w:t>
      </w:r>
      <w:r w:rsidR="002E190D" w:rsidRPr="00C81CE3">
        <w:rPr>
          <w:rFonts w:ascii="Arial" w:hAnsi="Arial" w:cs="Times New Roman"/>
          <w:i/>
          <w:sz w:val="20"/>
          <w:szCs w:val="20"/>
          <w:vertAlign w:val="superscript"/>
        </w:rPr>
        <w:t>6</w:t>
      </w:r>
      <w:r w:rsidR="002E190D" w:rsidRPr="00C81CE3">
        <w:rPr>
          <w:rFonts w:ascii="Arial" w:hAnsi="Arial" w:cs="Times New Roman"/>
          <w:i/>
          <w:sz w:val="20"/>
          <w:szCs w:val="20"/>
        </w:rPr>
        <w:t>, Robert Mathias</w:t>
      </w:r>
      <w:r w:rsidR="002E190D" w:rsidRPr="00C81CE3">
        <w:rPr>
          <w:rFonts w:ascii="Arial" w:hAnsi="Arial" w:cs="Times New Roman"/>
          <w:i/>
          <w:sz w:val="20"/>
          <w:szCs w:val="20"/>
          <w:vertAlign w:val="superscript"/>
        </w:rPr>
        <w:t>7</w:t>
      </w:r>
      <w:r w:rsidR="002E190D" w:rsidRPr="00C81CE3">
        <w:rPr>
          <w:rFonts w:ascii="Arial" w:hAnsi="Arial" w:cs="Times New Roman"/>
          <w:i/>
          <w:sz w:val="20"/>
          <w:szCs w:val="20"/>
        </w:rPr>
        <w:t>, Shefali Mahesh</w:t>
      </w:r>
      <w:r w:rsidR="002E190D" w:rsidRPr="00C81CE3">
        <w:rPr>
          <w:rFonts w:ascii="Arial" w:hAnsi="Arial" w:cs="Times New Roman"/>
          <w:i/>
          <w:sz w:val="20"/>
          <w:szCs w:val="20"/>
          <w:vertAlign w:val="superscript"/>
        </w:rPr>
        <w:t>8</w:t>
      </w:r>
      <w:r w:rsidR="002E190D" w:rsidRPr="00C81CE3">
        <w:rPr>
          <w:rFonts w:ascii="Arial" w:hAnsi="Arial" w:cs="Times New Roman"/>
          <w:i/>
          <w:sz w:val="20"/>
          <w:szCs w:val="20"/>
        </w:rPr>
        <w:t>, Joshua Zaritsky</w:t>
      </w:r>
      <w:r w:rsidR="002E190D" w:rsidRPr="00C81CE3">
        <w:rPr>
          <w:rFonts w:ascii="Arial" w:hAnsi="Arial" w:cs="Times New Roman"/>
          <w:i/>
          <w:sz w:val="20"/>
          <w:szCs w:val="20"/>
          <w:vertAlign w:val="superscript"/>
        </w:rPr>
        <w:t>9</w:t>
      </w:r>
      <w:r>
        <w:rPr>
          <w:rFonts w:ascii="Arial" w:hAnsi="Arial" w:cs="Times New Roman"/>
          <w:i/>
          <w:sz w:val="20"/>
          <w:szCs w:val="20"/>
        </w:rPr>
        <w:t xml:space="preserve">, </w:t>
      </w:r>
      <w:r w:rsidRPr="00C81CE3">
        <w:rPr>
          <w:rFonts w:ascii="Arial" w:hAnsi="Arial" w:cs="Times New Roman"/>
          <w:i/>
          <w:sz w:val="20"/>
          <w:szCs w:val="20"/>
        </w:rPr>
        <w:t>Rupesh Raina MD</w:t>
      </w:r>
      <w:r w:rsidRPr="00C81CE3">
        <w:rPr>
          <w:rFonts w:ascii="Arial" w:hAnsi="Arial" w:cs="Times New Roman"/>
          <w:i/>
          <w:sz w:val="20"/>
          <w:szCs w:val="20"/>
          <w:vertAlign w:val="superscript"/>
          <w:lang w:eastAsia="ja-JP"/>
        </w:rPr>
        <w:t>1, 2</w:t>
      </w:r>
    </w:p>
    <w:p w14:paraId="687C67E0" w14:textId="77777777" w:rsidR="002E190D" w:rsidRPr="00C81CE3" w:rsidRDefault="002E190D" w:rsidP="003C07C8">
      <w:pPr>
        <w:spacing w:line="480" w:lineRule="auto"/>
        <w:rPr>
          <w:rFonts w:ascii="Arial" w:hAnsi="Arial" w:cs="Times New Roman"/>
          <w:sz w:val="20"/>
          <w:szCs w:val="20"/>
          <w:vertAlign w:val="superscript"/>
          <w:lang w:eastAsia="ja-JP"/>
        </w:rPr>
      </w:pPr>
    </w:p>
    <w:p w14:paraId="07A9FB9B" w14:textId="77777777" w:rsidR="002E190D" w:rsidRPr="00C81CE3" w:rsidRDefault="002E190D" w:rsidP="002E190D">
      <w:pPr>
        <w:rPr>
          <w:rFonts w:ascii="Arial" w:hAnsi="Arial" w:cs="Times New Roman"/>
          <w:sz w:val="20"/>
          <w:szCs w:val="20"/>
        </w:rPr>
      </w:pPr>
      <w:r w:rsidRPr="00C81CE3">
        <w:rPr>
          <w:rFonts w:ascii="Arial" w:hAnsi="Arial" w:cs="Times New Roman"/>
          <w:sz w:val="20"/>
          <w:szCs w:val="20"/>
          <w:vertAlign w:val="superscript"/>
        </w:rPr>
        <w:t>1</w:t>
      </w:r>
      <w:r w:rsidRPr="00C81CE3">
        <w:rPr>
          <w:rFonts w:ascii="Arial" w:hAnsi="Arial" w:cs="Times New Roman"/>
          <w:sz w:val="20"/>
          <w:szCs w:val="20"/>
        </w:rPr>
        <w:t>Department of Nephrology, Cleveland Clinic Akron General and Akron Children’s Hospital, Akron, Ohio, USA</w:t>
      </w:r>
    </w:p>
    <w:p w14:paraId="1F262D1F" w14:textId="77777777" w:rsidR="002E190D" w:rsidRPr="00C81CE3" w:rsidRDefault="002E190D" w:rsidP="002E190D">
      <w:pPr>
        <w:rPr>
          <w:rFonts w:ascii="Arial" w:hAnsi="Arial" w:cs="Times New Roman"/>
          <w:sz w:val="20"/>
          <w:szCs w:val="20"/>
        </w:rPr>
      </w:pPr>
      <w:r w:rsidRPr="00C81CE3">
        <w:rPr>
          <w:rFonts w:ascii="Arial" w:hAnsi="Arial" w:cs="Times New Roman"/>
          <w:sz w:val="20"/>
          <w:szCs w:val="20"/>
          <w:vertAlign w:val="superscript"/>
        </w:rPr>
        <w:t>2</w:t>
      </w:r>
      <w:r w:rsidRPr="00C81CE3">
        <w:rPr>
          <w:rFonts w:ascii="Arial" w:hAnsi="Arial" w:cs="Times New Roman"/>
          <w:sz w:val="20"/>
          <w:szCs w:val="20"/>
        </w:rPr>
        <w:t>Akron Nephrology Associates/Cleveland Clinic Akron General, Akron, OH, USA</w:t>
      </w:r>
    </w:p>
    <w:p w14:paraId="169DC080" w14:textId="77777777" w:rsidR="002E190D" w:rsidRPr="00C81CE3" w:rsidRDefault="002E190D" w:rsidP="002E190D">
      <w:pPr>
        <w:rPr>
          <w:rFonts w:ascii="Arial" w:hAnsi="Arial" w:cs="Times New Roman"/>
          <w:sz w:val="20"/>
          <w:szCs w:val="20"/>
        </w:rPr>
      </w:pPr>
      <w:r w:rsidRPr="00C81CE3">
        <w:rPr>
          <w:rFonts w:ascii="Arial" w:hAnsi="Arial" w:cs="Times New Roman"/>
          <w:sz w:val="20"/>
          <w:szCs w:val="20"/>
          <w:vertAlign w:val="superscript"/>
        </w:rPr>
        <w:t>3</w:t>
      </w:r>
      <w:r w:rsidRPr="00C81CE3">
        <w:rPr>
          <w:rFonts w:ascii="Arial" w:hAnsi="Arial" w:cs="Times New Roman"/>
          <w:sz w:val="20"/>
          <w:szCs w:val="20"/>
        </w:rPr>
        <w:t>Loma Linda University Children’s Hospital, Loma Linda, CA, USA</w:t>
      </w:r>
    </w:p>
    <w:p w14:paraId="3CEEB7DB" w14:textId="77777777" w:rsidR="002E190D" w:rsidRPr="00C81CE3" w:rsidRDefault="002E190D" w:rsidP="002E190D">
      <w:pPr>
        <w:rPr>
          <w:rFonts w:ascii="Arial" w:hAnsi="Arial" w:cs="Times New Roman"/>
          <w:sz w:val="20"/>
          <w:szCs w:val="20"/>
        </w:rPr>
      </w:pPr>
      <w:r w:rsidRPr="00C81CE3">
        <w:rPr>
          <w:rFonts w:ascii="Arial" w:hAnsi="Arial" w:cs="Times New Roman"/>
          <w:sz w:val="20"/>
          <w:szCs w:val="20"/>
          <w:vertAlign w:val="superscript"/>
        </w:rPr>
        <w:t>4</w:t>
      </w:r>
      <w:r w:rsidRPr="00C81CE3">
        <w:rPr>
          <w:rFonts w:ascii="Arial" w:hAnsi="Arial" w:cs="Times New Roman"/>
          <w:sz w:val="20"/>
          <w:szCs w:val="20"/>
        </w:rPr>
        <w:t>Spectrum Health (Helen De Vos Children's Hospital), Grand Rapids, MI, USA</w:t>
      </w:r>
    </w:p>
    <w:p w14:paraId="2D101FBB" w14:textId="77777777" w:rsidR="002E190D" w:rsidRPr="00C81CE3" w:rsidRDefault="002E190D" w:rsidP="002E190D">
      <w:pPr>
        <w:rPr>
          <w:rFonts w:ascii="Arial" w:eastAsia="Times New Roman" w:hAnsi="Arial" w:cs="Times New Roman"/>
          <w:color w:val="222222"/>
          <w:sz w:val="20"/>
          <w:szCs w:val="20"/>
          <w:shd w:val="clear" w:color="auto" w:fill="FFFFFF"/>
          <w:lang w:val="en-TT"/>
        </w:rPr>
      </w:pPr>
      <w:r w:rsidRPr="00C81CE3">
        <w:rPr>
          <w:rFonts w:ascii="Arial" w:hAnsi="Arial" w:cs="Times New Roman"/>
          <w:sz w:val="20"/>
          <w:szCs w:val="20"/>
          <w:vertAlign w:val="superscript"/>
        </w:rPr>
        <w:t>5</w:t>
      </w:r>
      <w:r w:rsidRPr="00C81CE3">
        <w:rPr>
          <w:rFonts w:ascii="Arial" w:hAnsi="Arial" w:cs="Times New Roman"/>
          <w:sz w:val="20"/>
          <w:szCs w:val="20"/>
        </w:rPr>
        <w:t xml:space="preserve">Medical University of South Carolina, </w:t>
      </w:r>
      <w:r w:rsidRPr="00C81CE3">
        <w:rPr>
          <w:rFonts w:ascii="Arial" w:eastAsia="Times New Roman" w:hAnsi="Arial" w:cs="Times New Roman"/>
          <w:color w:val="222222"/>
          <w:sz w:val="20"/>
          <w:szCs w:val="20"/>
          <w:shd w:val="clear" w:color="auto" w:fill="FFFFFF"/>
          <w:lang w:val="en-TT"/>
        </w:rPr>
        <w:t>Charleston, SC, USA</w:t>
      </w:r>
    </w:p>
    <w:p w14:paraId="5E9E143C" w14:textId="77777777" w:rsidR="002E190D" w:rsidRPr="00C81CE3" w:rsidRDefault="002E190D" w:rsidP="002E190D">
      <w:pPr>
        <w:rPr>
          <w:rFonts w:ascii="Arial" w:hAnsi="Arial" w:cs="Times New Roman"/>
          <w:sz w:val="20"/>
          <w:szCs w:val="20"/>
        </w:rPr>
      </w:pPr>
      <w:r w:rsidRPr="00C81CE3">
        <w:rPr>
          <w:rFonts w:ascii="Arial" w:hAnsi="Arial" w:cs="Times New Roman"/>
          <w:sz w:val="20"/>
          <w:szCs w:val="20"/>
          <w:vertAlign w:val="superscript"/>
        </w:rPr>
        <w:t>6</w:t>
      </w:r>
      <w:r w:rsidRPr="00C81CE3">
        <w:rPr>
          <w:rFonts w:ascii="Arial" w:hAnsi="Arial" w:cs="Times New Roman"/>
          <w:sz w:val="20"/>
          <w:szCs w:val="20"/>
        </w:rPr>
        <w:t>Children's Hospital of Richmond at VCU, Richmond, VA, USA</w:t>
      </w:r>
    </w:p>
    <w:p w14:paraId="717B30B0" w14:textId="77777777" w:rsidR="002E190D" w:rsidRPr="00C81CE3" w:rsidRDefault="002E190D" w:rsidP="002E190D">
      <w:pPr>
        <w:rPr>
          <w:rFonts w:ascii="Arial" w:hAnsi="Arial" w:cs="Times New Roman"/>
          <w:sz w:val="20"/>
          <w:szCs w:val="20"/>
        </w:rPr>
      </w:pPr>
      <w:r w:rsidRPr="00C81CE3">
        <w:rPr>
          <w:rFonts w:ascii="Arial" w:hAnsi="Arial" w:cs="Times New Roman"/>
          <w:sz w:val="20"/>
          <w:szCs w:val="20"/>
          <w:vertAlign w:val="superscript"/>
        </w:rPr>
        <w:t>7</w:t>
      </w:r>
      <w:r w:rsidRPr="00C81CE3">
        <w:rPr>
          <w:rFonts w:ascii="Arial" w:hAnsi="Arial" w:cs="Times New Roman"/>
          <w:sz w:val="20"/>
          <w:szCs w:val="20"/>
        </w:rPr>
        <w:t>Nemours Children's Hospital, Orlando, FL, USA</w:t>
      </w:r>
    </w:p>
    <w:p w14:paraId="1E07C98C" w14:textId="77777777" w:rsidR="002E190D" w:rsidRPr="00C81CE3" w:rsidRDefault="002E190D" w:rsidP="002E190D">
      <w:pPr>
        <w:rPr>
          <w:rFonts w:ascii="Arial" w:hAnsi="Arial" w:cs="Times New Roman"/>
          <w:sz w:val="20"/>
          <w:szCs w:val="20"/>
        </w:rPr>
      </w:pPr>
      <w:r w:rsidRPr="00C81CE3">
        <w:rPr>
          <w:rFonts w:ascii="Arial" w:hAnsi="Arial" w:cs="Times New Roman"/>
          <w:sz w:val="20"/>
          <w:szCs w:val="20"/>
          <w:vertAlign w:val="superscript"/>
        </w:rPr>
        <w:t>8</w:t>
      </w:r>
      <w:r w:rsidRPr="00C81CE3">
        <w:rPr>
          <w:rFonts w:ascii="Arial" w:hAnsi="Arial" w:cs="Times New Roman"/>
          <w:sz w:val="20"/>
          <w:szCs w:val="20"/>
        </w:rPr>
        <w:t>Department of Nephrology, Akron Children’s Hospital, Akron, Ohio, USA</w:t>
      </w:r>
    </w:p>
    <w:p w14:paraId="2BCBD235" w14:textId="77777777" w:rsidR="002E190D" w:rsidRPr="00C81CE3" w:rsidRDefault="002E190D" w:rsidP="002E190D">
      <w:pPr>
        <w:rPr>
          <w:rFonts w:ascii="Arial" w:eastAsia="Times New Roman" w:hAnsi="Arial" w:cs="Times New Roman"/>
          <w:sz w:val="20"/>
          <w:szCs w:val="20"/>
          <w:lang w:val="en-TT"/>
        </w:rPr>
      </w:pPr>
      <w:r w:rsidRPr="00C81CE3">
        <w:rPr>
          <w:rFonts w:ascii="Arial" w:eastAsia="Times New Roman" w:hAnsi="Arial" w:cs="Times New Roman"/>
          <w:color w:val="000000"/>
          <w:sz w:val="20"/>
          <w:szCs w:val="20"/>
          <w:shd w:val="clear" w:color="auto" w:fill="FFFFFF"/>
          <w:vertAlign w:val="superscript"/>
          <w:lang w:val="en-TT"/>
        </w:rPr>
        <w:t>9</w:t>
      </w:r>
      <w:r w:rsidRPr="00C81CE3">
        <w:rPr>
          <w:rFonts w:ascii="Arial" w:eastAsia="Times New Roman" w:hAnsi="Arial" w:cs="Times New Roman"/>
          <w:color w:val="000000"/>
          <w:sz w:val="20"/>
          <w:szCs w:val="20"/>
          <w:shd w:val="clear" w:color="auto" w:fill="FFFFFF"/>
          <w:lang w:val="en-TT"/>
        </w:rPr>
        <w:t>Nemours, A.I. duPont Hospital for Children, Wilmington, DE, USA</w:t>
      </w:r>
    </w:p>
    <w:p w14:paraId="454C06A2" w14:textId="77777777" w:rsidR="00891C17" w:rsidRPr="00C81CE3" w:rsidRDefault="00891C17">
      <w:pPr>
        <w:rPr>
          <w:rFonts w:ascii="Arial" w:hAnsi="Arial"/>
          <w:sz w:val="20"/>
          <w:szCs w:val="20"/>
        </w:rPr>
      </w:pPr>
    </w:p>
    <w:p w14:paraId="10A7445B" w14:textId="77777777" w:rsidR="002E190D" w:rsidRPr="00C81CE3" w:rsidRDefault="002E190D">
      <w:pPr>
        <w:rPr>
          <w:rFonts w:ascii="Arial" w:hAnsi="Arial"/>
          <w:sz w:val="20"/>
          <w:szCs w:val="20"/>
        </w:rPr>
      </w:pPr>
    </w:p>
    <w:p w14:paraId="03CE40C8" w14:textId="28BF5FBF" w:rsidR="002E190D" w:rsidRPr="00C81CE3" w:rsidRDefault="002E190D" w:rsidP="00E52932">
      <w:pPr>
        <w:pStyle w:val="Default"/>
        <w:spacing w:line="480" w:lineRule="auto"/>
        <w:rPr>
          <w:rFonts w:ascii="Arial" w:hAnsi="Arial"/>
          <w:b/>
          <w:sz w:val="20"/>
          <w:szCs w:val="20"/>
        </w:rPr>
      </w:pPr>
      <w:r w:rsidRPr="00C81CE3">
        <w:rPr>
          <w:rFonts w:ascii="Arial" w:hAnsi="Arial"/>
          <w:b/>
          <w:sz w:val="20"/>
          <w:szCs w:val="20"/>
        </w:rPr>
        <w:t>Background</w:t>
      </w:r>
      <w:r w:rsidR="00E52932" w:rsidRPr="00C81CE3">
        <w:rPr>
          <w:rFonts w:ascii="Arial" w:hAnsi="Arial"/>
          <w:b/>
          <w:sz w:val="20"/>
          <w:szCs w:val="20"/>
        </w:rPr>
        <w:t xml:space="preserve">: </w:t>
      </w:r>
      <w:r w:rsidRPr="00C81CE3">
        <w:rPr>
          <w:rFonts w:ascii="Arial" w:hAnsi="Arial"/>
          <w:sz w:val="20"/>
          <w:szCs w:val="20"/>
        </w:rPr>
        <w:t>Focal segmental glomerulosclerosis (FSGS) is the major cause of end stage renal disease (ESRD) in the United States and worldwide. Primary FSGS carries poor prognosis as spontaneous remission is rare and more rapidly progress to ESRD within 2-8 years in nephrotic range proteinuria patients.</w:t>
      </w:r>
      <w:r w:rsidR="00EA31C7" w:rsidRPr="00C81CE3">
        <w:rPr>
          <w:rFonts w:ascii="Arial" w:hAnsi="Arial"/>
          <w:sz w:val="20"/>
          <w:szCs w:val="20"/>
        </w:rPr>
        <w:t xml:space="preserve"> </w:t>
      </w:r>
      <w:r w:rsidR="00BF78CB" w:rsidRPr="00C81CE3">
        <w:rPr>
          <w:rFonts w:ascii="Arial" w:hAnsi="Arial"/>
          <w:sz w:val="20"/>
          <w:szCs w:val="20"/>
        </w:rPr>
        <w:t>M</w:t>
      </w:r>
      <w:r w:rsidRPr="00C81CE3">
        <w:rPr>
          <w:rFonts w:ascii="Arial" w:hAnsi="Arial"/>
          <w:sz w:val="20"/>
          <w:szCs w:val="20"/>
        </w:rPr>
        <w:t xml:space="preserve">anagement of FSGS patients refractory to standard treatments or resistant to steroids remains a major challenge. Low-density lipoprotein apheresis (LDL apheresis) is a novel therapy for drug resistant (corticosteroids and/or calcineurin inhibitors) primary FSGS and post-renal transplant primary FSGS recurrence. </w:t>
      </w:r>
    </w:p>
    <w:p w14:paraId="519282CA" w14:textId="421C7264" w:rsidR="002E190D" w:rsidRPr="00C81CE3" w:rsidRDefault="002E190D" w:rsidP="002E190D">
      <w:pPr>
        <w:pStyle w:val="Default"/>
        <w:spacing w:line="480" w:lineRule="auto"/>
        <w:rPr>
          <w:rFonts w:ascii="Arial" w:hAnsi="Arial"/>
          <w:sz w:val="20"/>
          <w:szCs w:val="20"/>
        </w:rPr>
      </w:pPr>
      <w:r w:rsidRPr="00C81CE3">
        <w:rPr>
          <w:rFonts w:ascii="Arial" w:hAnsi="Arial"/>
          <w:b/>
          <w:sz w:val="20"/>
          <w:szCs w:val="20"/>
        </w:rPr>
        <w:t>Objectives</w:t>
      </w:r>
      <w:r w:rsidR="00E52932" w:rsidRPr="00C81CE3">
        <w:rPr>
          <w:rFonts w:ascii="Arial" w:hAnsi="Arial"/>
          <w:sz w:val="20"/>
          <w:szCs w:val="20"/>
        </w:rPr>
        <w:t xml:space="preserve">: </w:t>
      </w:r>
      <w:r w:rsidR="006A2AAF" w:rsidRPr="00C81CE3">
        <w:rPr>
          <w:rFonts w:ascii="Arial" w:hAnsi="Arial"/>
          <w:sz w:val="20"/>
          <w:szCs w:val="20"/>
        </w:rPr>
        <w:t>To e</w:t>
      </w:r>
      <w:r w:rsidRPr="00C81CE3">
        <w:rPr>
          <w:rFonts w:ascii="Arial" w:hAnsi="Arial"/>
          <w:sz w:val="20"/>
          <w:szCs w:val="20"/>
        </w:rPr>
        <w:t xml:space="preserve">xamine the safety and probable </w:t>
      </w:r>
      <w:r w:rsidR="00257733" w:rsidRPr="00C81CE3">
        <w:rPr>
          <w:rFonts w:ascii="Arial" w:hAnsi="Arial"/>
          <w:sz w:val="20"/>
          <w:szCs w:val="20"/>
        </w:rPr>
        <w:t xml:space="preserve">benefit at 1, 3, 6, 12 and 24 months following completion of </w:t>
      </w:r>
      <w:r w:rsidRPr="00C81CE3">
        <w:rPr>
          <w:rFonts w:ascii="Arial" w:hAnsi="Arial"/>
          <w:sz w:val="20"/>
          <w:szCs w:val="20"/>
        </w:rPr>
        <w:t xml:space="preserve">apheresis treatment using </w:t>
      </w:r>
      <w:proofErr w:type="spellStart"/>
      <w:r w:rsidRPr="00C81CE3">
        <w:rPr>
          <w:rFonts w:ascii="Arial" w:hAnsi="Arial"/>
          <w:sz w:val="20"/>
          <w:szCs w:val="20"/>
        </w:rPr>
        <w:t>Liposorber</w:t>
      </w:r>
      <w:proofErr w:type="spellEnd"/>
      <w:r w:rsidRPr="00C81CE3">
        <w:rPr>
          <w:rFonts w:ascii="Arial" w:hAnsi="Arial"/>
          <w:bCs/>
          <w:sz w:val="20"/>
          <w:szCs w:val="20"/>
          <w:vertAlign w:val="superscript"/>
        </w:rPr>
        <w:t>®</w:t>
      </w:r>
      <w:r w:rsidRPr="00C81CE3">
        <w:rPr>
          <w:rFonts w:ascii="Arial" w:hAnsi="Arial"/>
          <w:sz w:val="20"/>
          <w:szCs w:val="20"/>
        </w:rPr>
        <w:t xml:space="preserve"> LA-15 system </w:t>
      </w:r>
      <w:r w:rsidR="003B5B28" w:rsidRPr="00C81CE3">
        <w:rPr>
          <w:rFonts w:ascii="Arial" w:hAnsi="Arial"/>
          <w:sz w:val="20"/>
          <w:szCs w:val="20"/>
        </w:rPr>
        <w:t>in patients with</w:t>
      </w:r>
      <w:r w:rsidRPr="00C81CE3">
        <w:rPr>
          <w:rFonts w:ascii="Arial" w:hAnsi="Arial"/>
          <w:sz w:val="20"/>
          <w:szCs w:val="20"/>
        </w:rPr>
        <w:t xml:space="preserve"> </w:t>
      </w:r>
      <w:r w:rsidR="009B3023" w:rsidRPr="00C81CE3">
        <w:rPr>
          <w:rFonts w:ascii="Arial" w:hAnsi="Arial"/>
          <w:sz w:val="20"/>
          <w:szCs w:val="20"/>
        </w:rPr>
        <w:t xml:space="preserve">NS due to </w:t>
      </w:r>
      <w:r w:rsidR="00257733" w:rsidRPr="00C81CE3">
        <w:rPr>
          <w:rFonts w:ascii="Arial" w:hAnsi="Arial"/>
          <w:sz w:val="20"/>
          <w:szCs w:val="20"/>
        </w:rPr>
        <w:t xml:space="preserve">refractory </w:t>
      </w:r>
      <w:r w:rsidRPr="00C81CE3">
        <w:rPr>
          <w:rFonts w:ascii="Arial" w:hAnsi="Arial"/>
          <w:sz w:val="20"/>
          <w:szCs w:val="20"/>
        </w:rPr>
        <w:t xml:space="preserve">primary FSGS, or primary FSGS associated NS in </w:t>
      </w:r>
      <w:r w:rsidR="009E4486" w:rsidRPr="00C81CE3">
        <w:rPr>
          <w:rFonts w:ascii="Arial" w:hAnsi="Arial"/>
          <w:sz w:val="20"/>
          <w:szCs w:val="20"/>
        </w:rPr>
        <w:t>post renal transplant children.</w:t>
      </w:r>
    </w:p>
    <w:p w14:paraId="16193D56" w14:textId="52C25159" w:rsidR="002E190D" w:rsidRPr="00C81CE3" w:rsidRDefault="002E190D" w:rsidP="002E190D">
      <w:pPr>
        <w:pStyle w:val="Default"/>
        <w:spacing w:line="480" w:lineRule="auto"/>
        <w:rPr>
          <w:rFonts w:ascii="Arial" w:hAnsi="Arial"/>
          <w:b/>
          <w:sz w:val="20"/>
          <w:szCs w:val="20"/>
        </w:rPr>
      </w:pPr>
      <w:r w:rsidRPr="00C81CE3">
        <w:rPr>
          <w:rFonts w:ascii="Arial" w:hAnsi="Arial"/>
          <w:b/>
          <w:sz w:val="20"/>
          <w:szCs w:val="20"/>
        </w:rPr>
        <w:t>Material and methods</w:t>
      </w:r>
      <w:r w:rsidR="009B5186" w:rsidRPr="00C81CE3">
        <w:rPr>
          <w:rFonts w:ascii="Arial" w:hAnsi="Arial"/>
          <w:b/>
          <w:sz w:val="20"/>
          <w:szCs w:val="20"/>
        </w:rPr>
        <w:t xml:space="preserve">: </w:t>
      </w:r>
      <w:r w:rsidRPr="00C81CE3">
        <w:rPr>
          <w:rFonts w:ascii="Arial" w:hAnsi="Arial"/>
          <w:sz w:val="20"/>
          <w:szCs w:val="20"/>
        </w:rPr>
        <w:t xml:space="preserve">Prospective, multicenter, single-arm intervention study using </w:t>
      </w:r>
      <w:proofErr w:type="spellStart"/>
      <w:r w:rsidRPr="00C81CE3">
        <w:rPr>
          <w:rFonts w:ascii="Arial" w:hAnsi="Arial"/>
          <w:sz w:val="20"/>
          <w:szCs w:val="20"/>
        </w:rPr>
        <w:t>Liposorber</w:t>
      </w:r>
      <w:proofErr w:type="spellEnd"/>
      <w:r w:rsidRPr="00C81CE3">
        <w:rPr>
          <w:rFonts w:ascii="Arial" w:hAnsi="Arial"/>
          <w:bCs/>
          <w:sz w:val="20"/>
          <w:szCs w:val="20"/>
          <w:vertAlign w:val="superscript"/>
        </w:rPr>
        <w:t>®</w:t>
      </w:r>
      <w:r w:rsidRPr="00C81CE3">
        <w:rPr>
          <w:rFonts w:ascii="Arial" w:hAnsi="Arial"/>
          <w:sz w:val="20"/>
          <w:szCs w:val="20"/>
        </w:rPr>
        <w:t xml:space="preserve"> LA-15 system. </w:t>
      </w:r>
      <w:r w:rsidR="006C7849" w:rsidRPr="00C81CE3">
        <w:rPr>
          <w:rFonts w:ascii="Arial" w:hAnsi="Arial"/>
          <w:sz w:val="20"/>
          <w:szCs w:val="20"/>
        </w:rPr>
        <w:t>S</w:t>
      </w:r>
      <w:r w:rsidRPr="00C81CE3">
        <w:rPr>
          <w:rFonts w:ascii="Arial" w:hAnsi="Arial"/>
          <w:sz w:val="20"/>
          <w:szCs w:val="20"/>
        </w:rPr>
        <w:t>tudy was initiated in July 2014 with expected enrollment completion</w:t>
      </w:r>
      <w:r w:rsidR="00DF4058" w:rsidRPr="00C81CE3">
        <w:rPr>
          <w:rFonts w:ascii="Arial" w:hAnsi="Arial"/>
          <w:sz w:val="20"/>
          <w:szCs w:val="20"/>
        </w:rPr>
        <w:t xml:space="preserve"> in August 2018. </w:t>
      </w:r>
      <w:r w:rsidRPr="00C81CE3">
        <w:rPr>
          <w:rFonts w:ascii="Arial" w:hAnsi="Arial"/>
          <w:sz w:val="20"/>
          <w:szCs w:val="20"/>
        </w:rPr>
        <w:t>Patients ≤21 years old with drug resistant or drug intolerant NS secondary to primary FSGS with glomerular filtration rate (GFR) ≥60 ml/min/1.73m</w:t>
      </w:r>
      <w:r w:rsidRPr="00C81CE3">
        <w:rPr>
          <w:rFonts w:ascii="Arial" w:hAnsi="Arial"/>
          <w:sz w:val="20"/>
          <w:szCs w:val="20"/>
          <w:vertAlign w:val="superscript"/>
        </w:rPr>
        <w:t>2</w:t>
      </w:r>
      <w:r w:rsidRPr="00C81CE3">
        <w:rPr>
          <w:rFonts w:ascii="Arial" w:hAnsi="Arial"/>
          <w:sz w:val="20"/>
          <w:szCs w:val="20"/>
        </w:rPr>
        <w:t xml:space="preserve"> or post renal transplant patients ≤21 years old with primary FSGS associated NS</w:t>
      </w:r>
      <w:r w:rsidR="00E82625" w:rsidRPr="00C81CE3">
        <w:rPr>
          <w:rFonts w:ascii="Arial" w:hAnsi="Arial"/>
          <w:sz w:val="20"/>
          <w:szCs w:val="20"/>
        </w:rPr>
        <w:t xml:space="preserve"> were included in the study</w:t>
      </w:r>
      <w:r w:rsidR="0030523D" w:rsidRPr="00C81CE3">
        <w:rPr>
          <w:rFonts w:ascii="Arial" w:hAnsi="Arial"/>
          <w:sz w:val="20"/>
          <w:szCs w:val="20"/>
        </w:rPr>
        <w:t xml:space="preserve">. </w:t>
      </w:r>
      <w:r w:rsidRPr="00C81CE3">
        <w:rPr>
          <w:rFonts w:ascii="Arial" w:hAnsi="Arial"/>
          <w:sz w:val="20"/>
          <w:szCs w:val="20"/>
        </w:rPr>
        <w:t xml:space="preserve">Each patient will have a total of 12 apheresis sessions </w:t>
      </w:r>
      <w:r w:rsidR="009B5186" w:rsidRPr="00C81CE3">
        <w:rPr>
          <w:rFonts w:ascii="Arial" w:hAnsi="Arial"/>
          <w:sz w:val="20"/>
          <w:szCs w:val="20"/>
        </w:rPr>
        <w:t xml:space="preserve">with </w:t>
      </w:r>
      <w:proofErr w:type="spellStart"/>
      <w:r w:rsidR="009B5186" w:rsidRPr="00C81CE3">
        <w:rPr>
          <w:rFonts w:ascii="Arial" w:hAnsi="Arial"/>
          <w:sz w:val="20"/>
          <w:szCs w:val="20"/>
        </w:rPr>
        <w:t>Liposorber</w:t>
      </w:r>
      <w:proofErr w:type="spellEnd"/>
      <w:r w:rsidR="009B5186" w:rsidRPr="00C81CE3">
        <w:rPr>
          <w:rFonts w:ascii="Arial" w:hAnsi="Arial"/>
          <w:bCs/>
          <w:sz w:val="20"/>
          <w:szCs w:val="20"/>
          <w:vertAlign w:val="superscript"/>
        </w:rPr>
        <w:t>®</w:t>
      </w:r>
      <w:r w:rsidR="009B5186" w:rsidRPr="00C81CE3">
        <w:rPr>
          <w:rFonts w:ascii="Arial" w:hAnsi="Arial"/>
          <w:sz w:val="20"/>
          <w:szCs w:val="20"/>
        </w:rPr>
        <w:t xml:space="preserve"> LA-15 system </w:t>
      </w:r>
      <w:r w:rsidRPr="00C81CE3">
        <w:rPr>
          <w:rFonts w:ascii="Arial" w:hAnsi="Arial"/>
          <w:sz w:val="20"/>
          <w:szCs w:val="20"/>
        </w:rPr>
        <w:t xml:space="preserve">over a period of 9 weeks. All the patients will be followed up at 1, 3, 6, 12 and 24 months following </w:t>
      </w:r>
      <w:r w:rsidR="000C7E3D" w:rsidRPr="00C81CE3">
        <w:rPr>
          <w:rFonts w:ascii="Arial" w:hAnsi="Arial"/>
          <w:sz w:val="20"/>
          <w:szCs w:val="20"/>
        </w:rPr>
        <w:t>completion of apheresis treatment</w:t>
      </w:r>
      <w:r w:rsidR="00E52932" w:rsidRPr="00C81CE3">
        <w:rPr>
          <w:rFonts w:ascii="Arial" w:hAnsi="Arial"/>
          <w:sz w:val="20"/>
          <w:szCs w:val="20"/>
        </w:rPr>
        <w:t>.</w:t>
      </w:r>
    </w:p>
    <w:p w14:paraId="4085F103" w14:textId="3B57A5E3" w:rsidR="002E190D" w:rsidRPr="00C81CE3" w:rsidRDefault="002E190D" w:rsidP="00D546C5">
      <w:pPr>
        <w:pStyle w:val="Default"/>
        <w:spacing w:line="480" w:lineRule="auto"/>
        <w:rPr>
          <w:rFonts w:ascii="Arial" w:hAnsi="Arial"/>
          <w:b/>
          <w:sz w:val="20"/>
          <w:szCs w:val="20"/>
        </w:rPr>
      </w:pPr>
      <w:r w:rsidRPr="00C81CE3">
        <w:rPr>
          <w:rFonts w:ascii="Arial" w:hAnsi="Arial"/>
          <w:b/>
          <w:sz w:val="20"/>
          <w:szCs w:val="20"/>
        </w:rPr>
        <w:t>Interim results</w:t>
      </w:r>
      <w:r w:rsidR="00D546C5" w:rsidRPr="00C81CE3">
        <w:rPr>
          <w:rFonts w:ascii="Arial" w:hAnsi="Arial"/>
          <w:b/>
          <w:sz w:val="20"/>
          <w:szCs w:val="20"/>
        </w:rPr>
        <w:t xml:space="preserve">: </w:t>
      </w:r>
      <w:r w:rsidRPr="00C81CE3">
        <w:rPr>
          <w:rFonts w:ascii="Arial" w:hAnsi="Arial"/>
          <w:sz w:val="20"/>
          <w:szCs w:val="20"/>
        </w:rPr>
        <w:t>As of October 2017, 14 patients from 6 sites have been enrolled in to the study. A total of 11 patients completed 12 apheresis treatments ov</w:t>
      </w:r>
      <w:r w:rsidR="00B3009F" w:rsidRPr="00C81CE3">
        <w:rPr>
          <w:rFonts w:ascii="Arial" w:hAnsi="Arial"/>
          <w:sz w:val="20"/>
          <w:szCs w:val="20"/>
        </w:rPr>
        <w:t>er a period of 9 weeks</w:t>
      </w:r>
      <w:r w:rsidRPr="00C81CE3">
        <w:rPr>
          <w:rFonts w:ascii="Arial" w:hAnsi="Arial"/>
          <w:sz w:val="20"/>
          <w:szCs w:val="20"/>
        </w:rPr>
        <w:t>. Three of seven patients (43%) attained partial remission of NS at 1-month follow-up visit. Furthermore, 4 of 6 subjects (66.6%) and 3 of 4 subjects (75%) had partial/complete remission at 3 and 6 months following LDL apheresis respectively. Of 3 patients who were followed up for 12 months, 2 had complete remission and one had persistence of NS. Improvement or stable eGFR was noted in majority of patients (70%) over the follow-up period.</w:t>
      </w:r>
    </w:p>
    <w:p w14:paraId="45193D7A" w14:textId="30EF64B8" w:rsidR="002E190D" w:rsidRPr="00C81CE3" w:rsidRDefault="002E190D" w:rsidP="00D546C5">
      <w:pPr>
        <w:spacing w:line="480" w:lineRule="auto"/>
        <w:rPr>
          <w:rFonts w:ascii="Arial" w:hAnsi="Arial" w:cs="Times New Roman"/>
          <w:b/>
          <w:sz w:val="20"/>
          <w:szCs w:val="20"/>
        </w:rPr>
      </w:pPr>
      <w:r w:rsidRPr="00C81CE3">
        <w:rPr>
          <w:rFonts w:ascii="Arial" w:hAnsi="Arial" w:cs="Times New Roman"/>
          <w:b/>
          <w:sz w:val="20"/>
          <w:szCs w:val="20"/>
        </w:rPr>
        <w:lastRenderedPageBreak/>
        <w:t>Conclusion</w:t>
      </w:r>
      <w:r w:rsidR="00D546C5" w:rsidRPr="00C81CE3">
        <w:rPr>
          <w:rFonts w:ascii="Arial" w:hAnsi="Arial" w:cs="Times New Roman"/>
          <w:b/>
          <w:sz w:val="20"/>
          <w:szCs w:val="20"/>
        </w:rPr>
        <w:t xml:space="preserve">: </w:t>
      </w:r>
      <w:r w:rsidR="00653C06" w:rsidRPr="00C81CE3">
        <w:rPr>
          <w:rFonts w:ascii="Arial" w:hAnsi="Arial" w:cs="Times New Roman"/>
          <w:color w:val="000000"/>
          <w:sz w:val="20"/>
          <w:szCs w:val="20"/>
        </w:rPr>
        <w:t>In line with other previous studies, s</w:t>
      </w:r>
      <w:r w:rsidRPr="00C81CE3">
        <w:rPr>
          <w:rFonts w:ascii="Arial" w:eastAsia="Times New Roman" w:hAnsi="Arial" w:cs="Times New Roman"/>
          <w:sz w:val="20"/>
          <w:szCs w:val="20"/>
          <w:lang w:val="en-TT"/>
        </w:rPr>
        <w:t xml:space="preserve">hort-term results of our multicenter study showed </w:t>
      </w:r>
      <w:r w:rsidR="00653C06" w:rsidRPr="00C81CE3">
        <w:rPr>
          <w:rFonts w:ascii="Arial" w:hAnsi="Arial" w:cs="Times New Roman"/>
          <w:sz w:val="20"/>
          <w:szCs w:val="20"/>
        </w:rPr>
        <w:t>improvement in the response rates to steroid or immunosuppressive therapy and induce complete or partial remission of proteinuria</w:t>
      </w:r>
      <w:r w:rsidR="00DF1966" w:rsidRPr="00C81CE3">
        <w:rPr>
          <w:rFonts w:ascii="Arial" w:hAnsi="Arial" w:cs="Times New Roman"/>
          <w:sz w:val="20"/>
          <w:szCs w:val="20"/>
        </w:rPr>
        <w:t xml:space="preserve"> in drug resistant primary FSGS patients</w:t>
      </w:r>
      <w:r w:rsidRPr="00C81CE3">
        <w:rPr>
          <w:rFonts w:ascii="Arial" w:hAnsi="Arial" w:cs="Times New Roman"/>
          <w:sz w:val="20"/>
          <w:szCs w:val="20"/>
        </w:rPr>
        <w:t xml:space="preserve">. </w:t>
      </w:r>
      <w:r w:rsidR="00DF1966" w:rsidRPr="00C81CE3">
        <w:rPr>
          <w:rFonts w:ascii="Arial" w:hAnsi="Arial" w:cs="Times New Roman"/>
          <w:sz w:val="20"/>
          <w:szCs w:val="20"/>
        </w:rPr>
        <w:t>However</w:t>
      </w:r>
      <w:r w:rsidRPr="00C81CE3">
        <w:rPr>
          <w:rFonts w:ascii="Arial" w:hAnsi="Arial" w:cs="Times New Roman"/>
          <w:sz w:val="20"/>
          <w:szCs w:val="20"/>
        </w:rPr>
        <w:t xml:space="preserve">, these are interim results and full analysis after completion of the study will through more light on the outcome of LDL apheresis using </w:t>
      </w:r>
      <w:proofErr w:type="spellStart"/>
      <w:r w:rsidRPr="00C81CE3">
        <w:rPr>
          <w:rFonts w:ascii="Arial" w:hAnsi="Arial" w:cs="Times New Roman"/>
          <w:sz w:val="20"/>
          <w:szCs w:val="20"/>
        </w:rPr>
        <w:t>Liposorber</w:t>
      </w:r>
      <w:proofErr w:type="spellEnd"/>
      <w:r w:rsidRPr="00C81CE3">
        <w:rPr>
          <w:rFonts w:ascii="Arial" w:hAnsi="Arial" w:cs="Times New Roman"/>
          <w:bCs/>
          <w:sz w:val="20"/>
          <w:szCs w:val="20"/>
          <w:vertAlign w:val="superscript"/>
        </w:rPr>
        <w:t>®</w:t>
      </w:r>
      <w:r w:rsidR="002D64F9" w:rsidRPr="00C81CE3">
        <w:rPr>
          <w:rFonts w:ascii="Arial" w:hAnsi="Arial" w:cs="Times New Roman"/>
          <w:sz w:val="20"/>
          <w:szCs w:val="20"/>
        </w:rPr>
        <w:t xml:space="preserve"> LA-15 system.</w:t>
      </w:r>
    </w:p>
    <w:p w14:paraId="74583E45" w14:textId="77777777" w:rsidR="002E190D" w:rsidRPr="00C81CE3" w:rsidRDefault="002E190D">
      <w:pPr>
        <w:rPr>
          <w:rFonts w:ascii="Arial" w:hAnsi="Arial"/>
          <w:sz w:val="20"/>
          <w:szCs w:val="20"/>
        </w:rPr>
      </w:pPr>
    </w:p>
    <w:sectPr w:rsidR="002E190D" w:rsidRPr="00C81CE3" w:rsidSect="00564E4F">
      <w:pgSz w:w="11900" w:h="16840"/>
      <w:pgMar w:top="862" w:right="1021" w:bottom="862" w:left="1378" w:header="0" w:footer="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90D"/>
    <w:rsid w:val="00006BEC"/>
    <w:rsid w:val="000C7E3D"/>
    <w:rsid w:val="000F1568"/>
    <w:rsid w:val="001A0961"/>
    <w:rsid w:val="001F2B91"/>
    <w:rsid w:val="002259D3"/>
    <w:rsid w:val="00240C8C"/>
    <w:rsid w:val="00257733"/>
    <w:rsid w:val="002D64F9"/>
    <w:rsid w:val="002E190D"/>
    <w:rsid w:val="0030523D"/>
    <w:rsid w:val="003403C4"/>
    <w:rsid w:val="003B5B28"/>
    <w:rsid w:val="003C07C8"/>
    <w:rsid w:val="003E6B3B"/>
    <w:rsid w:val="004D67D9"/>
    <w:rsid w:val="00500FCF"/>
    <w:rsid w:val="00535C6C"/>
    <w:rsid w:val="00544303"/>
    <w:rsid w:val="00564E4F"/>
    <w:rsid w:val="005A3297"/>
    <w:rsid w:val="005E7FAD"/>
    <w:rsid w:val="006322EE"/>
    <w:rsid w:val="00632EE7"/>
    <w:rsid w:val="00653C06"/>
    <w:rsid w:val="006A2AAF"/>
    <w:rsid w:val="006C7849"/>
    <w:rsid w:val="00835860"/>
    <w:rsid w:val="00891C17"/>
    <w:rsid w:val="008E21F9"/>
    <w:rsid w:val="00942AED"/>
    <w:rsid w:val="009542B0"/>
    <w:rsid w:val="009B3023"/>
    <w:rsid w:val="009B5186"/>
    <w:rsid w:val="009E4486"/>
    <w:rsid w:val="00A51555"/>
    <w:rsid w:val="00AC4122"/>
    <w:rsid w:val="00B07BCD"/>
    <w:rsid w:val="00B3009F"/>
    <w:rsid w:val="00BA6000"/>
    <w:rsid w:val="00BF78CB"/>
    <w:rsid w:val="00C254A9"/>
    <w:rsid w:val="00C81CE3"/>
    <w:rsid w:val="00D546C5"/>
    <w:rsid w:val="00DF1966"/>
    <w:rsid w:val="00DF4058"/>
    <w:rsid w:val="00E478D8"/>
    <w:rsid w:val="00E52932"/>
    <w:rsid w:val="00E82625"/>
    <w:rsid w:val="00EA31C7"/>
    <w:rsid w:val="00F21B2F"/>
    <w:rsid w:val="00F270C2"/>
    <w:rsid w:val="00F61A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ECB00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19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E190D"/>
    <w:pPr>
      <w:widowControl w:val="0"/>
      <w:autoSpaceDE w:val="0"/>
      <w:autoSpaceDN w:val="0"/>
      <w:adjustRightInd w:val="0"/>
    </w:pPr>
    <w:rPr>
      <w:rFonts w:ascii="Times New Roman" w:hAnsi="Times New Roman" w:cs="Times New Roman"/>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19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E190D"/>
    <w:pPr>
      <w:widowControl w:val="0"/>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542</Words>
  <Characters>3096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Vinod Krishnappa</dc:creator>
  <cp:lastModifiedBy>Binnie</cp:lastModifiedBy>
  <cp:revision>2</cp:revision>
  <cp:lastPrinted>2018-09-16T15:41:00Z</cp:lastPrinted>
  <dcterms:created xsi:type="dcterms:W3CDTF">2018-09-16T15:43:00Z</dcterms:created>
  <dcterms:modified xsi:type="dcterms:W3CDTF">2018-09-16T15:43:00Z</dcterms:modified>
</cp:coreProperties>
</file>