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00" w:rsidRPr="006E16A6" w:rsidRDefault="00604EA3" w:rsidP="009120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6A6">
        <w:rPr>
          <w:rFonts w:ascii="Times New Roman" w:hAnsi="Times New Roman" w:cs="Times New Roman"/>
          <w:b/>
          <w:sz w:val="24"/>
          <w:szCs w:val="24"/>
        </w:rPr>
        <w:t xml:space="preserve">Impact of molecular marker and treatment on </w:t>
      </w:r>
      <w:r w:rsidR="00656C4C" w:rsidRPr="006E16A6">
        <w:rPr>
          <w:rFonts w:ascii="Times New Roman" w:hAnsi="Times New Roman" w:cs="Times New Roman"/>
          <w:b/>
          <w:sz w:val="24"/>
          <w:szCs w:val="24"/>
        </w:rPr>
        <w:t>overall</w:t>
      </w:r>
      <w:r w:rsidR="00C4156B" w:rsidRPr="006E16A6">
        <w:rPr>
          <w:rFonts w:ascii="Times New Roman" w:hAnsi="Times New Roman" w:cs="Times New Roman"/>
          <w:b/>
          <w:sz w:val="24"/>
          <w:szCs w:val="24"/>
        </w:rPr>
        <w:t xml:space="preserve"> survival and progression free </w:t>
      </w:r>
      <w:bookmarkStart w:id="0" w:name="_GoBack"/>
      <w:bookmarkEnd w:id="0"/>
      <w:r w:rsidR="00C4156B" w:rsidRPr="006E16A6">
        <w:rPr>
          <w:rFonts w:ascii="Times New Roman" w:hAnsi="Times New Roman" w:cs="Times New Roman"/>
          <w:b/>
          <w:sz w:val="24"/>
          <w:szCs w:val="24"/>
        </w:rPr>
        <w:t>survival in</w:t>
      </w:r>
      <w:r w:rsidR="00592D7D" w:rsidRPr="006E16A6">
        <w:rPr>
          <w:rFonts w:ascii="Times New Roman" w:hAnsi="Times New Roman" w:cs="Times New Roman"/>
          <w:b/>
          <w:sz w:val="24"/>
          <w:szCs w:val="24"/>
        </w:rPr>
        <w:t xml:space="preserve"> patients with recurrent GBM: A retrospective single center analysis</w:t>
      </w:r>
    </w:p>
    <w:p w:rsidR="00592D7D" w:rsidRPr="006E16A6" w:rsidRDefault="00592D7D">
      <w:pPr>
        <w:rPr>
          <w:rFonts w:ascii="Times New Roman" w:hAnsi="Times New Roman" w:cs="Times New Roman"/>
          <w:b/>
          <w:sz w:val="24"/>
          <w:szCs w:val="24"/>
        </w:rPr>
      </w:pPr>
    </w:p>
    <w:p w:rsidR="00592D7D" w:rsidRPr="006E16A6" w:rsidRDefault="00592D7D">
      <w:pPr>
        <w:rPr>
          <w:rFonts w:ascii="Times New Roman" w:hAnsi="Times New Roman" w:cs="Times New Roman"/>
          <w:sz w:val="24"/>
          <w:szCs w:val="24"/>
        </w:rPr>
      </w:pPr>
      <w:r w:rsidRPr="006E16A6">
        <w:rPr>
          <w:rFonts w:ascii="Times New Roman" w:hAnsi="Times New Roman" w:cs="Times New Roman"/>
          <w:b/>
          <w:sz w:val="24"/>
          <w:szCs w:val="24"/>
        </w:rPr>
        <w:t xml:space="preserve">Background: </w:t>
      </w:r>
      <w:r w:rsidRPr="006E16A6">
        <w:rPr>
          <w:rFonts w:ascii="Times New Roman" w:hAnsi="Times New Roman" w:cs="Times New Roman"/>
          <w:sz w:val="24"/>
          <w:szCs w:val="24"/>
        </w:rPr>
        <w:t xml:space="preserve">GBM is the most common aggressive CNS tumor in adults with poor prognosis. Recurrence of the GBM is inevitable with a median survival of 12-15 months. We have </w:t>
      </w:r>
      <w:r w:rsidR="00C4156B" w:rsidRPr="006E16A6">
        <w:rPr>
          <w:rFonts w:ascii="Times New Roman" w:hAnsi="Times New Roman" w:cs="Times New Roman"/>
          <w:sz w:val="24"/>
          <w:szCs w:val="24"/>
        </w:rPr>
        <w:t xml:space="preserve">no standard of care treatment for recurrent GBM and lot of clinical trial has been going on to for the recurrent GBM. We </w:t>
      </w:r>
      <w:r w:rsidR="00362753" w:rsidRPr="006E16A6">
        <w:rPr>
          <w:rFonts w:ascii="Times New Roman" w:hAnsi="Times New Roman" w:cs="Times New Roman"/>
          <w:sz w:val="24"/>
          <w:szCs w:val="24"/>
        </w:rPr>
        <w:t xml:space="preserve">report the association of the molecular marker and type of treatment on overall survival and progression free survival in recurrent GBM.  </w:t>
      </w:r>
      <w:r w:rsidR="00C4156B" w:rsidRPr="006E16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D7D" w:rsidRPr="006E16A6" w:rsidRDefault="00592D7D">
      <w:pPr>
        <w:rPr>
          <w:rFonts w:ascii="Times New Roman" w:hAnsi="Times New Roman" w:cs="Times New Roman"/>
          <w:sz w:val="24"/>
          <w:szCs w:val="24"/>
        </w:rPr>
      </w:pPr>
      <w:r w:rsidRPr="006E16A6">
        <w:rPr>
          <w:rFonts w:ascii="Times New Roman" w:hAnsi="Times New Roman" w:cs="Times New Roman"/>
          <w:b/>
          <w:sz w:val="24"/>
          <w:szCs w:val="24"/>
        </w:rPr>
        <w:t>Methods:</w:t>
      </w:r>
      <w:r w:rsidR="00362753" w:rsidRPr="006E1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753" w:rsidRPr="006E16A6">
        <w:rPr>
          <w:rFonts w:ascii="Times New Roman" w:hAnsi="Times New Roman" w:cs="Times New Roman"/>
          <w:sz w:val="24"/>
          <w:szCs w:val="24"/>
        </w:rPr>
        <w:t xml:space="preserve">After IRB approval, we </w:t>
      </w:r>
      <w:r w:rsidR="007F4C1D" w:rsidRPr="006E16A6">
        <w:rPr>
          <w:rFonts w:ascii="Times New Roman" w:hAnsi="Times New Roman" w:cs="Times New Roman"/>
          <w:sz w:val="24"/>
          <w:szCs w:val="24"/>
        </w:rPr>
        <w:t>reviewed the</w:t>
      </w:r>
      <w:r w:rsidR="00362753" w:rsidRPr="006E16A6">
        <w:rPr>
          <w:rFonts w:ascii="Times New Roman" w:hAnsi="Times New Roman" w:cs="Times New Roman"/>
          <w:sz w:val="24"/>
          <w:szCs w:val="24"/>
        </w:rPr>
        <w:t xml:space="preserve"> chart of 288 recurrent GBM patients </w:t>
      </w:r>
      <w:r w:rsidR="007F4C1D" w:rsidRPr="006E16A6">
        <w:rPr>
          <w:rFonts w:ascii="Times New Roman" w:hAnsi="Times New Roman" w:cs="Times New Roman"/>
          <w:sz w:val="24"/>
          <w:szCs w:val="24"/>
        </w:rPr>
        <w:t xml:space="preserve">from 2012 to till date. </w:t>
      </w:r>
      <w:r w:rsidR="0096160C" w:rsidRPr="006E16A6">
        <w:rPr>
          <w:rFonts w:ascii="Times New Roman" w:hAnsi="Times New Roman" w:cs="Times New Roman"/>
          <w:sz w:val="24"/>
          <w:szCs w:val="24"/>
        </w:rPr>
        <w:t>Multivariable</w:t>
      </w:r>
      <w:r w:rsidR="00604EA3" w:rsidRPr="006E16A6">
        <w:rPr>
          <w:rFonts w:ascii="Times New Roman" w:hAnsi="Times New Roman" w:cs="Times New Roman"/>
          <w:sz w:val="24"/>
          <w:szCs w:val="24"/>
        </w:rPr>
        <w:t xml:space="preserve"> analysis was used to calculate the overall and progression free</w:t>
      </w:r>
      <w:r w:rsidR="003702B3" w:rsidRPr="006E16A6">
        <w:rPr>
          <w:rFonts w:ascii="Times New Roman" w:hAnsi="Times New Roman" w:cs="Times New Roman"/>
          <w:sz w:val="24"/>
          <w:szCs w:val="24"/>
        </w:rPr>
        <w:t xml:space="preserve"> survival for</w:t>
      </w:r>
      <w:r w:rsidR="00604EA3" w:rsidRPr="006E16A6">
        <w:rPr>
          <w:rFonts w:ascii="Times New Roman" w:hAnsi="Times New Roman" w:cs="Times New Roman"/>
          <w:sz w:val="24"/>
          <w:szCs w:val="24"/>
        </w:rPr>
        <w:t xml:space="preserve"> the </w:t>
      </w:r>
      <w:r w:rsidR="00A7512C" w:rsidRPr="006E16A6">
        <w:rPr>
          <w:rFonts w:ascii="Times New Roman" w:hAnsi="Times New Roman" w:cs="Times New Roman"/>
          <w:sz w:val="24"/>
          <w:szCs w:val="24"/>
        </w:rPr>
        <w:t xml:space="preserve">3 </w:t>
      </w:r>
      <w:r w:rsidR="00604EA3" w:rsidRPr="006E16A6">
        <w:rPr>
          <w:rFonts w:ascii="Times New Roman" w:hAnsi="Times New Roman" w:cs="Times New Roman"/>
          <w:sz w:val="24"/>
          <w:szCs w:val="24"/>
        </w:rPr>
        <w:t>cohort of patients</w:t>
      </w:r>
      <w:r w:rsidR="00A7512C" w:rsidRPr="006E16A6">
        <w:rPr>
          <w:rFonts w:ascii="Times New Roman" w:hAnsi="Times New Roman" w:cs="Times New Roman"/>
          <w:sz w:val="24"/>
          <w:szCs w:val="24"/>
        </w:rPr>
        <w:t xml:space="preserve"> (EGFR, MGMT, IDH mutation)</w:t>
      </w:r>
      <w:r w:rsidR="00604EA3" w:rsidRPr="006E16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6C4C" w:rsidRPr="006E16A6" w:rsidRDefault="00592D7D" w:rsidP="00656C4C">
      <w:pPr>
        <w:pStyle w:val="BodyText"/>
        <w:rPr>
          <w:rStyle w:val="highlight2"/>
          <w:rFonts w:ascii="Times New Roman" w:hAnsi="Times New Roman" w:cs="Times New Roman"/>
        </w:rPr>
      </w:pPr>
      <w:r w:rsidRPr="006E16A6">
        <w:rPr>
          <w:rFonts w:ascii="Times New Roman" w:hAnsi="Times New Roman" w:cs="Times New Roman"/>
          <w:b/>
        </w:rPr>
        <w:t>Results:</w:t>
      </w:r>
      <w:r w:rsidR="00604EA3" w:rsidRPr="006E16A6">
        <w:rPr>
          <w:rFonts w:ascii="Times New Roman" w:hAnsi="Times New Roman" w:cs="Times New Roman"/>
          <w:b/>
        </w:rPr>
        <w:t xml:space="preserve"> </w:t>
      </w:r>
      <w:r w:rsidR="00604EA3" w:rsidRPr="006E16A6">
        <w:rPr>
          <w:rFonts w:ascii="Times New Roman" w:hAnsi="Times New Roman" w:cs="Times New Roman"/>
        </w:rPr>
        <w:t>43% of the patient had EGFR amplification, 38% harbored MGMT mutation and 7.4% were IDH- 1 mutation, only 4 patient had TERT mutation therefore they</w:t>
      </w:r>
      <w:r w:rsidR="00656C4C" w:rsidRPr="006E16A6">
        <w:rPr>
          <w:rFonts w:ascii="Times New Roman" w:hAnsi="Times New Roman" w:cs="Times New Roman"/>
        </w:rPr>
        <w:t xml:space="preserve"> were not included for analysis. 66 (25.6%) patients had surgery, 29 (11.2%) had radiation, 184(72.4%) had chemotherapy. Out of these patients who had chemotherapy, 34 had </w:t>
      </w:r>
      <w:proofErr w:type="spellStart"/>
      <w:r w:rsidR="00656C4C" w:rsidRPr="006E16A6">
        <w:rPr>
          <w:rFonts w:ascii="Times New Roman" w:hAnsi="Times New Roman" w:cs="Times New Roman"/>
        </w:rPr>
        <w:t>Lomustine</w:t>
      </w:r>
      <w:proofErr w:type="spellEnd"/>
      <w:r w:rsidR="00656C4C" w:rsidRPr="006E16A6">
        <w:rPr>
          <w:rFonts w:ascii="Times New Roman" w:hAnsi="Times New Roman" w:cs="Times New Roman"/>
        </w:rPr>
        <w:t xml:space="preserve"> alone, 81 had Bev alone and 18 had both, 81(31.4%) patients were on clinical trials. Mean duration between first surgical diagnosis to 1st recurrence for all patient is 9.4 months; The median overall survival was 11.7 months; the median PFS from the diagnosis to the first recurrence is 6.49 months; and the median PFS from the first recurrence to the second recurrence is 4.59 months. </w:t>
      </w:r>
      <w:r w:rsidR="003702B3" w:rsidRPr="006E16A6">
        <w:rPr>
          <w:rFonts w:ascii="Times New Roman" w:hAnsi="Times New Roman" w:cs="Times New Roman"/>
        </w:rPr>
        <w:t xml:space="preserve">The median PFS for MGMT methylation and non methylation was 9.05 and 5.51 months, Hazard ratio of 0.59 (0.43, 0.080), p-value (&lt;0.001). There were no association of molecular marker on the overall survival on all 3 cohort of the patient. </w:t>
      </w:r>
      <w:r w:rsidR="00A7512C" w:rsidRPr="006E16A6">
        <w:rPr>
          <w:rFonts w:ascii="Times New Roman" w:hAnsi="Times New Roman" w:cs="Times New Roman"/>
        </w:rPr>
        <w:t xml:space="preserve">On further analysis, treatment with </w:t>
      </w:r>
      <w:r w:rsidR="00A7512C" w:rsidRPr="006E16A6">
        <w:rPr>
          <w:rStyle w:val="highlight2"/>
          <w:rFonts w:ascii="Times New Roman" w:hAnsi="Times New Roman" w:cs="Times New Roman"/>
        </w:rPr>
        <w:t>bevacizumab is associated with either lower risk of recurrence and PFS</w:t>
      </w:r>
      <w:r w:rsidR="004D77A7" w:rsidRPr="006E16A6">
        <w:rPr>
          <w:rStyle w:val="highlight2"/>
          <w:rFonts w:ascii="Times New Roman" w:hAnsi="Times New Roman" w:cs="Times New Roman"/>
        </w:rPr>
        <w:t xml:space="preserve"> in all 3 cohort of patients</w:t>
      </w:r>
      <w:r w:rsidR="00A7512C" w:rsidRPr="006E16A6">
        <w:rPr>
          <w:rStyle w:val="highlight2"/>
          <w:rFonts w:ascii="Times New Roman" w:hAnsi="Times New Roman" w:cs="Times New Roman"/>
        </w:rPr>
        <w:t xml:space="preserve">. </w:t>
      </w:r>
    </w:p>
    <w:p w:rsidR="00A7512C" w:rsidRPr="006E16A6" w:rsidRDefault="00A7512C" w:rsidP="00C81059">
      <w:pPr>
        <w:pStyle w:val="BodyText"/>
        <w:spacing w:before="0" w:after="0"/>
        <w:ind w:firstLine="720"/>
        <w:rPr>
          <w:rFonts w:ascii="Times New Roman" w:hAnsi="Times New Roman" w:cs="Times New Roman"/>
        </w:rPr>
      </w:pPr>
      <w:r w:rsidRPr="006E16A6">
        <w:rPr>
          <w:rFonts w:ascii="Times New Roman" w:hAnsi="Times New Roman" w:cs="Times New Roman"/>
          <w:b/>
        </w:rPr>
        <w:t>Diagnosis to first recurrence and molecular status</w:t>
      </w:r>
    </w:p>
    <w:tbl>
      <w:tblPr>
        <w:tblW w:w="0" w:type="pct"/>
        <w:tblLook w:val="07E0" w:firstRow="1" w:lastRow="1" w:firstColumn="1" w:lastColumn="1" w:noHBand="1" w:noVBand="1"/>
      </w:tblPr>
      <w:tblGrid>
        <w:gridCol w:w="2016"/>
        <w:gridCol w:w="576"/>
        <w:gridCol w:w="1190"/>
        <w:gridCol w:w="1969"/>
        <w:gridCol w:w="1996"/>
        <w:gridCol w:w="952"/>
      </w:tblGrid>
      <w:tr w:rsidR="00A7512C" w:rsidRPr="006E16A6" w:rsidTr="00FB1870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No.</w:t>
            </w:r>
            <w:r w:rsidR="00C81059" w:rsidRPr="006E16A6">
              <w:rPr>
                <w:rFonts w:ascii="Times New Roman" w:hAnsi="Times New Roman" w:cs="Times New Roman"/>
              </w:rPr>
              <w:t xml:space="preserve"> </w:t>
            </w:r>
            <w:r w:rsidRPr="006E16A6">
              <w:rPr>
                <w:rFonts w:ascii="Times New Roman" w:hAnsi="Times New Roman" w:cs="Times New Roman"/>
              </w:rPr>
              <w:t>Event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Estimated Median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HR ( 95%CI )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P-value</w:t>
            </w:r>
          </w:p>
        </w:tc>
      </w:tr>
      <w:tr w:rsidR="00A7512C" w:rsidRPr="006E16A6" w:rsidTr="00FB1870"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12C" w:rsidRPr="006E16A6" w:rsidTr="00FB1870"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-non-amplification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7.44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Reference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12C" w:rsidRPr="006E16A6" w:rsidTr="00FB1870"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-amplification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6.72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1.17 ( 0.89 , 1.54 )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0.27</w:t>
            </w:r>
          </w:p>
        </w:tc>
      </w:tr>
      <w:tr w:rsidR="00A7512C" w:rsidRPr="006E16A6" w:rsidTr="00FB1870"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MGMT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12C" w:rsidRPr="006E16A6" w:rsidTr="00FB1870"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-non methylation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5.51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Reference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12C" w:rsidRPr="006E16A6" w:rsidTr="00FB1870"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-methylation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9.05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0.59 ( 0.43 , 0.80 )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&lt; 0.001</w:t>
            </w:r>
          </w:p>
        </w:tc>
      </w:tr>
      <w:tr w:rsidR="00A7512C" w:rsidRPr="006E16A6" w:rsidTr="00FB1870"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IDH-1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12C" w:rsidRPr="006E16A6" w:rsidTr="00FB1870"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-wild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6.39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Reference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12C" w:rsidRPr="006E16A6" w:rsidTr="00FB1870"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-mutation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8.33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1.13 ( 0.67 , 1.92 )</w:t>
            </w:r>
          </w:p>
        </w:tc>
        <w:tc>
          <w:tcPr>
            <w:tcW w:w="0" w:type="auto"/>
          </w:tcPr>
          <w:p w:rsidR="00A7512C" w:rsidRPr="006E16A6" w:rsidRDefault="00A7512C" w:rsidP="00FB1870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6E16A6">
              <w:rPr>
                <w:rFonts w:ascii="Times New Roman" w:hAnsi="Times New Roman" w:cs="Times New Roman"/>
              </w:rPr>
              <w:t>0.65</w:t>
            </w:r>
          </w:p>
        </w:tc>
      </w:tr>
    </w:tbl>
    <w:p w:rsidR="00A7512C" w:rsidRPr="006E16A6" w:rsidRDefault="00A7512C" w:rsidP="00A7512C">
      <w:pPr>
        <w:pStyle w:val="BodyText"/>
        <w:spacing w:before="0" w:after="0"/>
        <w:rPr>
          <w:rFonts w:ascii="Times New Roman" w:hAnsi="Times New Roman" w:cs="Times New Roman"/>
          <w:b/>
        </w:rPr>
      </w:pPr>
    </w:p>
    <w:p w:rsidR="00592D7D" w:rsidRPr="006E16A6" w:rsidRDefault="00592D7D">
      <w:pPr>
        <w:rPr>
          <w:rFonts w:ascii="Times New Roman" w:hAnsi="Times New Roman" w:cs="Times New Roman"/>
          <w:sz w:val="24"/>
          <w:szCs w:val="24"/>
        </w:rPr>
      </w:pPr>
      <w:r w:rsidRPr="006E16A6">
        <w:rPr>
          <w:rFonts w:ascii="Times New Roman" w:hAnsi="Times New Roman" w:cs="Times New Roman"/>
          <w:b/>
          <w:sz w:val="24"/>
          <w:szCs w:val="24"/>
        </w:rPr>
        <w:t>Conclusion:</w:t>
      </w:r>
      <w:r w:rsidR="00C81059" w:rsidRPr="006E1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6137" w:rsidRPr="006E16A6">
        <w:rPr>
          <w:rFonts w:ascii="Times New Roman" w:hAnsi="Times New Roman" w:cs="Times New Roman"/>
          <w:sz w:val="24"/>
          <w:szCs w:val="24"/>
        </w:rPr>
        <w:t xml:space="preserve">Molecular marker have impact on the progression free survival esp. MGMT methylation but no association with overall survival. </w:t>
      </w:r>
      <w:proofErr w:type="spellStart"/>
      <w:r w:rsidR="00F76137" w:rsidRPr="006E16A6">
        <w:rPr>
          <w:rFonts w:ascii="Times New Roman" w:hAnsi="Times New Roman" w:cs="Times New Roman"/>
          <w:sz w:val="24"/>
          <w:szCs w:val="24"/>
        </w:rPr>
        <w:t>Bevicizumab</w:t>
      </w:r>
      <w:proofErr w:type="spellEnd"/>
      <w:r w:rsidR="00F76137" w:rsidRPr="006E16A6">
        <w:rPr>
          <w:rFonts w:ascii="Times New Roman" w:hAnsi="Times New Roman" w:cs="Times New Roman"/>
          <w:sz w:val="24"/>
          <w:szCs w:val="24"/>
        </w:rPr>
        <w:t xml:space="preserve"> is efficacious in recurrent GBM but we need standard of care for recurrent GBM for increased overall survival benefit.  </w:t>
      </w:r>
    </w:p>
    <w:p w:rsidR="00592D7D" w:rsidRPr="00592D7D" w:rsidRDefault="00592D7D">
      <w:pPr>
        <w:rPr>
          <w:b/>
        </w:rPr>
      </w:pPr>
    </w:p>
    <w:sectPr w:rsidR="00592D7D" w:rsidRPr="00592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53"/>
    <w:rsid w:val="00362753"/>
    <w:rsid w:val="003702B3"/>
    <w:rsid w:val="004B6D53"/>
    <w:rsid w:val="004D77A7"/>
    <w:rsid w:val="00592D7D"/>
    <w:rsid w:val="005A4DBA"/>
    <w:rsid w:val="00604EA3"/>
    <w:rsid w:val="00656C4C"/>
    <w:rsid w:val="006E16A6"/>
    <w:rsid w:val="007F4C1D"/>
    <w:rsid w:val="0091208B"/>
    <w:rsid w:val="0096160C"/>
    <w:rsid w:val="00A7512C"/>
    <w:rsid w:val="00C0451E"/>
    <w:rsid w:val="00C4156B"/>
    <w:rsid w:val="00C81059"/>
    <w:rsid w:val="00F26277"/>
    <w:rsid w:val="00F76137"/>
    <w:rsid w:val="00F7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56C4C"/>
    <w:pPr>
      <w:spacing w:before="180" w:after="18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56C4C"/>
    <w:rPr>
      <w:sz w:val="24"/>
      <w:szCs w:val="24"/>
    </w:rPr>
  </w:style>
  <w:style w:type="character" w:customStyle="1" w:styleId="highlight2">
    <w:name w:val="highlight2"/>
    <w:basedOn w:val="DefaultParagraphFont"/>
    <w:rsid w:val="00A7512C"/>
  </w:style>
  <w:style w:type="paragraph" w:customStyle="1" w:styleId="Compact">
    <w:name w:val="Compact"/>
    <w:basedOn w:val="BodyText"/>
    <w:qFormat/>
    <w:rsid w:val="00A7512C"/>
    <w:pPr>
      <w:spacing w:before="36" w:after="3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56C4C"/>
    <w:pPr>
      <w:spacing w:before="180" w:after="18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56C4C"/>
    <w:rPr>
      <w:sz w:val="24"/>
      <w:szCs w:val="24"/>
    </w:rPr>
  </w:style>
  <w:style w:type="character" w:customStyle="1" w:styleId="highlight2">
    <w:name w:val="highlight2"/>
    <w:basedOn w:val="DefaultParagraphFont"/>
    <w:rsid w:val="00A7512C"/>
  </w:style>
  <w:style w:type="paragraph" w:customStyle="1" w:styleId="Compact">
    <w:name w:val="Compact"/>
    <w:basedOn w:val="BodyText"/>
    <w:qFormat/>
    <w:rsid w:val="00A7512C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Sagar, Soumya</dc:creator>
  <cp:lastModifiedBy>Binnie</cp:lastModifiedBy>
  <cp:revision>2</cp:revision>
  <cp:lastPrinted>2018-09-21T21:48:00Z</cp:lastPrinted>
  <dcterms:created xsi:type="dcterms:W3CDTF">2018-09-21T21:49:00Z</dcterms:created>
  <dcterms:modified xsi:type="dcterms:W3CDTF">2018-09-21T21:49:00Z</dcterms:modified>
</cp:coreProperties>
</file>