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43" w:rsidRDefault="00C75143" w:rsidP="00E50FA8">
      <w:pPr>
        <w:rPr>
          <w:b/>
          <w:color w:val="333333"/>
          <w:shd w:val="clear" w:color="auto" w:fill="FFFFFF"/>
        </w:rPr>
      </w:pPr>
      <w:bookmarkStart w:id="0" w:name="_GoBack"/>
      <w:r w:rsidRPr="00A54EA9">
        <w:rPr>
          <w:b/>
          <w:color w:val="333333"/>
          <w:shd w:val="clear" w:color="auto" w:fill="FFFFFF"/>
        </w:rPr>
        <w:t xml:space="preserve">Systematic Review and Recommendations from the Pediatric Continuous Renal Replacement Therapy (PCRRT) Workgroup for Management of </w:t>
      </w:r>
      <w:proofErr w:type="spellStart"/>
      <w:r>
        <w:rPr>
          <w:b/>
          <w:color w:val="333333"/>
          <w:shd w:val="clear" w:color="auto" w:fill="FFFFFF"/>
        </w:rPr>
        <w:t>Hyperammonemia</w:t>
      </w:r>
      <w:proofErr w:type="spellEnd"/>
      <w:r w:rsidRPr="00A54EA9">
        <w:rPr>
          <w:b/>
          <w:color w:val="333333"/>
          <w:shd w:val="clear" w:color="auto" w:fill="FFFFFF"/>
        </w:rPr>
        <w:t xml:space="preserve"> in Children  </w:t>
      </w:r>
    </w:p>
    <w:bookmarkEnd w:id="0"/>
    <w:p w:rsidR="00C61BB7" w:rsidRDefault="00C61BB7" w:rsidP="00E50FA8">
      <w:pPr>
        <w:rPr>
          <w:b/>
          <w:color w:val="333333"/>
          <w:shd w:val="clear" w:color="auto" w:fill="FFFFFF"/>
        </w:rPr>
      </w:pPr>
    </w:p>
    <w:p w:rsidR="00C61BB7" w:rsidRPr="00480298" w:rsidRDefault="00C61BB7" w:rsidP="00E50FA8">
      <w:pPr>
        <w:rPr>
          <w:b/>
          <w:color w:val="333333"/>
          <w:shd w:val="clear" w:color="auto" w:fill="FFFFFF"/>
          <w:vertAlign w:val="superscript"/>
        </w:rPr>
      </w:pPr>
      <w:r>
        <w:rPr>
          <w:b/>
          <w:color w:val="333333"/>
          <w:shd w:val="clear" w:color="auto" w:fill="FFFFFF"/>
        </w:rPr>
        <w:t xml:space="preserve">Authors: </w:t>
      </w:r>
      <w:proofErr w:type="spellStart"/>
      <w:r w:rsidR="00672ACC">
        <w:rPr>
          <w:b/>
          <w:color w:val="333333"/>
          <w:shd w:val="clear" w:color="auto" w:fill="FFFFFF"/>
        </w:rPr>
        <w:t>Meghana</w:t>
      </w:r>
      <w:proofErr w:type="spellEnd"/>
      <w:r w:rsidR="00672ACC">
        <w:rPr>
          <w:b/>
          <w:color w:val="333333"/>
          <w:shd w:val="clear" w:color="auto" w:fill="FFFFFF"/>
        </w:rPr>
        <w:t xml:space="preserve"> Vemuganti</w:t>
      </w:r>
      <w:r w:rsidR="00480298">
        <w:rPr>
          <w:b/>
          <w:color w:val="333333"/>
          <w:shd w:val="clear" w:color="auto" w:fill="FFFFFF"/>
          <w:vertAlign w:val="superscript"/>
        </w:rPr>
        <w:t>1</w:t>
      </w:r>
      <w:r w:rsidR="00672ACC">
        <w:rPr>
          <w:b/>
          <w:color w:val="333333"/>
          <w:shd w:val="clear" w:color="auto" w:fill="FFFFFF"/>
        </w:rPr>
        <w:t xml:space="preserve">, </w:t>
      </w:r>
      <w:proofErr w:type="spellStart"/>
      <w:r w:rsidR="00672ACC">
        <w:rPr>
          <w:b/>
          <w:color w:val="333333"/>
          <w:shd w:val="clear" w:color="auto" w:fill="FFFFFF"/>
        </w:rPr>
        <w:t>Hershita</w:t>
      </w:r>
      <w:proofErr w:type="spellEnd"/>
      <w:r w:rsidR="00672ACC">
        <w:rPr>
          <w:b/>
          <w:color w:val="333333"/>
          <w:shd w:val="clear" w:color="auto" w:fill="FFFFFF"/>
        </w:rPr>
        <w:t xml:space="preserve"> Raheja</w:t>
      </w:r>
      <w:r w:rsidR="00480298">
        <w:rPr>
          <w:b/>
          <w:color w:val="333333"/>
          <w:shd w:val="clear" w:color="auto" w:fill="FFFFFF"/>
          <w:vertAlign w:val="superscript"/>
        </w:rPr>
        <w:t>2</w:t>
      </w:r>
      <w:r w:rsidR="00672ACC">
        <w:rPr>
          <w:b/>
          <w:color w:val="333333"/>
          <w:shd w:val="clear" w:color="auto" w:fill="FFFFFF"/>
        </w:rPr>
        <w:t>, Vinod Krishnappa</w:t>
      </w:r>
      <w:r w:rsidR="00480298">
        <w:rPr>
          <w:b/>
          <w:color w:val="333333"/>
          <w:shd w:val="clear" w:color="auto" w:fill="FFFFFF"/>
          <w:vertAlign w:val="superscript"/>
        </w:rPr>
        <w:t>2</w:t>
      </w:r>
      <w:proofErr w:type="gramStart"/>
      <w:r w:rsidR="00953A88">
        <w:rPr>
          <w:b/>
          <w:color w:val="333333"/>
          <w:shd w:val="clear" w:color="auto" w:fill="FFFFFF"/>
          <w:vertAlign w:val="superscript"/>
        </w:rPr>
        <w:t>,4</w:t>
      </w:r>
      <w:proofErr w:type="gramEnd"/>
      <w:r w:rsidR="00672ACC">
        <w:rPr>
          <w:b/>
          <w:color w:val="333333"/>
          <w:shd w:val="clear" w:color="auto" w:fill="FFFFFF"/>
        </w:rPr>
        <w:t xml:space="preserve">, </w:t>
      </w:r>
      <w:r w:rsidR="008B70AE">
        <w:rPr>
          <w:b/>
          <w:color w:val="333333"/>
          <w:shd w:val="clear" w:color="auto" w:fill="FFFFFF"/>
        </w:rPr>
        <w:t xml:space="preserve">and </w:t>
      </w:r>
      <w:proofErr w:type="spellStart"/>
      <w:r w:rsidR="00672ACC">
        <w:rPr>
          <w:b/>
          <w:color w:val="333333"/>
          <w:shd w:val="clear" w:color="auto" w:fill="FFFFFF"/>
        </w:rPr>
        <w:t>Rupesh</w:t>
      </w:r>
      <w:proofErr w:type="spellEnd"/>
      <w:r w:rsidR="00672ACC">
        <w:rPr>
          <w:b/>
          <w:color w:val="333333"/>
          <w:shd w:val="clear" w:color="auto" w:fill="FFFFFF"/>
        </w:rPr>
        <w:t xml:space="preserve"> Raina</w:t>
      </w:r>
      <w:r w:rsidR="00480298">
        <w:rPr>
          <w:b/>
          <w:color w:val="333333"/>
          <w:shd w:val="clear" w:color="auto" w:fill="FFFFFF"/>
          <w:vertAlign w:val="superscript"/>
        </w:rPr>
        <w:t>2</w:t>
      </w:r>
      <w:r w:rsidR="00173F4A">
        <w:rPr>
          <w:b/>
          <w:color w:val="333333"/>
          <w:shd w:val="clear" w:color="auto" w:fill="FFFFFF"/>
          <w:vertAlign w:val="superscript"/>
        </w:rPr>
        <w:t>,3,4</w:t>
      </w:r>
    </w:p>
    <w:p w:rsidR="00480298" w:rsidRDefault="00480298" w:rsidP="00E50FA8">
      <w:pPr>
        <w:rPr>
          <w:b/>
          <w:color w:val="333333"/>
          <w:shd w:val="clear" w:color="auto" w:fill="FFFFFF"/>
        </w:rPr>
      </w:pPr>
    </w:p>
    <w:p w:rsidR="00480298" w:rsidRDefault="00480298" w:rsidP="00480298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  <w:vertAlign w:val="superscript"/>
        </w:rPr>
        <w:t>1</w:t>
      </w:r>
      <w:r>
        <w:rPr>
          <w:rFonts w:eastAsiaTheme="minorHAnsi"/>
        </w:rPr>
        <w:t>College of Medicine, Northeast Ohio Medical University, Rootstown, Ohio, USA</w:t>
      </w:r>
    </w:p>
    <w:p w:rsidR="00173F4A" w:rsidRDefault="00173F4A" w:rsidP="00480298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  <w:vertAlign w:val="superscript"/>
        </w:rPr>
        <w:t>2</w:t>
      </w:r>
      <w:r>
        <w:rPr>
          <w:rFonts w:eastAsiaTheme="minorHAnsi"/>
        </w:rPr>
        <w:t>Department of Nephrology Cleveland Clinic Akron General, Akron, Ohio, USA</w:t>
      </w:r>
    </w:p>
    <w:p w:rsidR="00173F4A" w:rsidRDefault="00173F4A" w:rsidP="00480298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  <w:vertAlign w:val="superscript"/>
        </w:rPr>
        <w:t>3</w:t>
      </w:r>
      <w:r w:rsidR="00480298">
        <w:rPr>
          <w:rFonts w:eastAsiaTheme="minorHAnsi"/>
        </w:rPr>
        <w:t>Department of Nephrology, Akron Children’</w:t>
      </w:r>
      <w:r>
        <w:rPr>
          <w:rFonts w:eastAsiaTheme="minorHAnsi"/>
        </w:rPr>
        <w:t>s Hospital, Akron, Ohio, USA</w:t>
      </w:r>
    </w:p>
    <w:p w:rsidR="00173F4A" w:rsidRDefault="00173F4A" w:rsidP="00480298">
      <w:pPr>
        <w:autoSpaceDE w:val="0"/>
        <w:autoSpaceDN w:val="0"/>
        <w:adjustRightInd w:val="0"/>
        <w:rPr>
          <w:rFonts w:eastAsiaTheme="minorHAnsi"/>
        </w:rPr>
      </w:pPr>
      <w:r w:rsidRPr="00173F4A">
        <w:rPr>
          <w:rFonts w:eastAsiaTheme="minorHAnsi"/>
          <w:vertAlign w:val="superscript"/>
        </w:rPr>
        <w:t>4</w:t>
      </w:r>
      <w:r>
        <w:rPr>
          <w:rFonts w:eastAsiaTheme="minorHAnsi"/>
        </w:rPr>
        <w:t>A</w:t>
      </w:r>
      <w:r w:rsidRPr="00173F4A">
        <w:rPr>
          <w:rFonts w:eastAsiaTheme="minorHAnsi"/>
        </w:rPr>
        <w:t>mericare</w:t>
      </w:r>
      <w:r>
        <w:rPr>
          <w:rFonts w:eastAsiaTheme="minorHAnsi"/>
        </w:rPr>
        <w:t xml:space="preserve"> Kidney Institute/Cleveland Clinic Akron General, Akron, Ohio, USA</w:t>
      </w:r>
    </w:p>
    <w:p w:rsidR="00C75143" w:rsidRPr="00A54EA9" w:rsidRDefault="00C75143" w:rsidP="00E50FA8">
      <w:pPr>
        <w:rPr>
          <w:b/>
        </w:rPr>
      </w:pPr>
    </w:p>
    <w:p w:rsidR="00222408" w:rsidRPr="00E50FA8" w:rsidRDefault="00E50FA8" w:rsidP="00E50FA8">
      <w:pPr>
        <w:rPr>
          <w:b/>
        </w:rPr>
      </w:pPr>
      <w:r w:rsidRPr="00E50FA8">
        <w:rPr>
          <w:b/>
        </w:rPr>
        <w:t>Background:</w:t>
      </w:r>
    </w:p>
    <w:p w:rsidR="00E50FA8" w:rsidRDefault="00E50FA8" w:rsidP="00E50FA8">
      <w:pPr>
        <w:rPr>
          <w:color w:val="000000"/>
        </w:rPr>
      </w:pPr>
      <w:proofErr w:type="spellStart"/>
      <w:r w:rsidRPr="001F7CB0">
        <w:rPr>
          <w:color w:val="000000"/>
        </w:rPr>
        <w:t>Hyperammonemia</w:t>
      </w:r>
      <w:proofErr w:type="spellEnd"/>
      <w:r w:rsidRPr="001F7CB0">
        <w:rPr>
          <w:color w:val="000000"/>
        </w:rPr>
        <w:t xml:space="preserve"> is the accumulation of ammonia</w:t>
      </w:r>
      <w:r>
        <w:rPr>
          <w:color w:val="000000"/>
        </w:rPr>
        <w:t xml:space="preserve"> in blood</w:t>
      </w:r>
      <w:r w:rsidRPr="001F7CB0">
        <w:rPr>
          <w:color w:val="000000"/>
        </w:rPr>
        <w:t xml:space="preserve"> that may result in an acute life-threatening event in pediatric populations. </w:t>
      </w:r>
      <w:r>
        <w:rPr>
          <w:color w:val="000000"/>
        </w:rPr>
        <w:t xml:space="preserve">Patients </w:t>
      </w:r>
      <w:r w:rsidRPr="001F7CB0">
        <w:rPr>
          <w:color w:val="000000"/>
        </w:rPr>
        <w:t>typically present with lethargy, poor fe</w:t>
      </w:r>
      <w:r>
        <w:rPr>
          <w:color w:val="000000"/>
        </w:rPr>
        <w:t xml:space="preserve">eding, and </w:t>
      </w:r>
      <w:proofErr w:type="spellStart"/>
      <w:r>
        <w:rPr>
          <w:color w:val="000000"/>
        </w:rPr>
        <w:t>hypotonia</w:t>
      </w:r>
      <w:proofErr w:type="spellEnd"/>
      <w:r>
        <w:rPr>
          <w:color w:val="000000"/>
        </w:rPr>
        <w:t xml:space="preserve">; if not managed efficiently, patients can </w:t>
      </w:r>
      <w:r w:rsidR="00672ACC">
        <w:rPr>
          <w:color w:val="000000"/>
        </w:rPr>
        <w:t>develop seizures, coma, and eventually die</w:t>
      </w:r>
      <w:r>
        <w:rPr>
          <w:color w:val="000000"/>
        </w:rPr>
        <w:t>.</w:t>
      </w:r>
      <w:r w:rsidRPr="001F7CB0">
        <w:rPr>
          <w:color w:val="000000"/>
        </w:rPr>
        <w:t xml:space="preserve"> </w:t>
      </w:r>
      <w:r w:rsidR="00C75143" w:rsidRPr="001F7CB0">
        <w:rPr>
          <w:color w:val="000000"/>
        </w:rPr>
        <w:t xml:space="preserve">Management of </w:t>
      </w:r>
      <w:proofErr w:type="spellStart"/>
      <w:r w:rsidR="00C75143" w:rsidRPr="001F7CB0">
        <w:rPr>
          <w:color w:val="000000"/>
        </w:rPr>
        <w:t>hyperammonemia</w:t>
      </w:r>
      <w:proofErr w:type="spellEnd"/>
      <w:r w:rsidR="00C75143" w:rsidRPr="001F7CB0">
        <w:rPr>
          <w:color w:val="000000"/>
        </w:rPr>
        <w:t xml:space="preserve"> </w:t>
      </w:r>
      <w:r w:rsidR="00672ACC">
        <w:rPr>
          <w:color w:val="000000"/>
        </w:rPr>
        <w:t>is</w:t>
      </w:r>
      <w:r w:rsidR="00C75143" w:rsidRPr="001F7CB0">
        <w:rPr>
          <w:color w:val="000000"/>
        </w:rPr>
        <w:t xml:space="preserve"> difficult in pediatric pop</w:t>
      </w:r>
      <w:r w:rsidR="00672ACC">
        <w:rPr>
          <w:color w:val="000000"/>
        </w:rPr>
        <w:t xml:space="preserve">ulations given the non-specific symptoms, </w:t>
      </w:r>
      <w:r w:rsidR="00C75143" w:rsidRPr="001F7CB0">
        <w:rPr>
          <w:color w:val="000000"/>
        </w:rPr>
        <w:t>a</w:t>
      </w:r>
      <w:r w:rsidR="00672ACC">
        <w:rPr>
          <w:color w:val="000000"/>
        </w:rPr>
        <w:t xml:space="preserve">ge specific etiologies, and </w:t>
      </w:r>
      <w:r w:rsidR="00C75143" w:rsidRPr="001F7CB0">
        <w:rPr>
          <w:color w:val="000000"/>
        </w:rPr>
        <w:t xml:space="preserve">lack of consensus in treatment plan. </w:t>
      </w:r>
    </w:p>
    <w:p w:rsidR="00E50FA8" w:rsidRDefault="00E50FA8" w:rsidP="00E50FA8">
      <w:pPr>
        <w:rPr>
          <w:color w:val="000000"/>
        </w:rPr>
      </w:pPr>
      <w:r w:rsidRPr="00E50FA8">
        <w:rPr>
          <w:b/>
          <w:color w:val="000000"/>
        </w:rPr>
        <w:t>Objective:</w:t>
      </w:r>
      <w:r>
        <w:rPr>
          <w:color w:val="000000"/>
        </w:rPr>
        <w:t xml:space="preserve"> </w:t>
      </w:r>
      <w:r w:rsidR="00672ACC">
        <w:rPr>
          <w:color w:val="000000"/>
        </w:rPr>
        <w:t>This systematic review</w:t>
      </w:r>
      <w:r w:rsidR="00C75143" w:rsidRPr="001F7CB0">
        <w:rPr>
          <w:color w:val="000000"/>
        </w:rPr>
        <w:t xml:space="preserve"> sought to search the published literature to comprise guidelines for non-renal replacement therapy (RRT) and renal replacement therapy in pediatric patients.</w:t>
      </w:r>
      <w:r w:rsidR="00C75143">
        <w:rPr>
          <w:color w:val="000000"/>
        </w:rPr>
        <w:t xml:space="preserve"> </w:t>
      </w:r>
    </w:p>
    <w:p w:rsidR="00E50FA8" w:rsidRDefault="00E50FA8" w:rsidP="00E50FA8">
      <w:pPr>
        <w:rPr>
          <w:bCs/>
          <w:color w:val="000000"/>
          <w:shd w:val="clear" w:color="auto" w:fill="FFFFFF"/>
        </w:rPr>
      </w:pPr>
      <w:r w:rsidRPr="00E50FA8">
        <w:rPr>
          <w:b/>
          <w:color w:val="000000"/>
        </w:rPr>
        <w:t>Methods:</w:t>
      </w:r>
      <w:r>
        <w:rPr>
          <w:color w:val="000000"/>
        </w:rPr>
        <w:t xml:space="preserve"> </w:t>
      </w:r>
      <w:r w:rsidR="00672ACC">
        <w:rPr>
          <w:color w:val="000000"/>
        </w:rPr>
        <w:t>D</w:t>
      </w:r>
      <w:r w:rsidRPr="001F7CB0">
        <w:rPr>
          <w:color w:val="000000"/>
        </w:rPr>
        <w:t xml:space="preserve">atabase search using PubMed/Medline, </w:t>
      </w:r>
      <w:proofErr w:type="spellStart"/>
      <w:r w:rsidRPr="001F7CB0">
        <w:rPr>
          <w:color w:val="000000"/>
        </w:rPr>
        <w:t>Embase</w:t>
      </w:r>
      <w:proofErr w:type="spellEnd"/>
      <w:r w:rsidRPr="001F7CB0">
        <w:rPr>
          <w:color w:val="000000"/>
        </w:rPr>
        <w:t xml:space="preserve"> and Cochrane was performed to include publications about </w:t>
      </w:r>
      <w:r w:rsidR="00F01D4B">
        <w:rPr>
          <w:color w:val="000000"/>
        </w:rPr>
        <w:t xml:space="preserve">pediatric </w:t>
      </w:r>
      <w:proofErr w:type="spellStart"/>
      <w:r w:rsidRPr="001F7CB0">
        <w:rPr>
          <w:color w:val="000000"/>
        </w:rPr>
        <w:t>hyperammonemia</w:t>
      </w:r>
      <w:proofErr w:type="spellEnd"/>
      <w:r w:rsidRPr="001F7CB0">
        <w:rPr>
          <w:color w:val="000000"/>
        </w:rPr>
        <w:t xml:space="preserve"> and renal replacement.</w:t>
      </w:r>
      <w:r>
        <w:rPr>
          <w:color w:val="000000"/>
        </w:rPr>
        <w:t xml:space="preserve"> </w:t>
      </w:r>
      <w:r w:rsidR="00672ACC">
        <w:rPr>
          <w:bCs/>
          <w:color w:val="000000"/>
          <w:shd w:val="clear" w:color="auto" w:fill="FFFFFF"/>
        </w:rPr>
        <w:t>The inclusion/</w:t>
      </w:r>
      <w:r w:rsidRPr="001F7CB0">
        <w:rPr>
          <w:bCs/>
          <w:color w:val="000000"/>
          <w:shd w:val="clear" w:color="auto" w:fill="FFFFFF"/>
        </w:rPr>
        <w:t>exclusion criteria were used to assess each</w:t>
      </w:r>
      <w:r w:rsidR="00672ACC">
        <w:rPr>
          <w:bCs/>
          <w:color w:val="000000"/>
          <w:shd w:val="clear" w:color="auto" w:fill="FFFFFF"/>
        </w:rPr>
        <w:t xml:space="preserve"> title, abstract, and full article by two </w:t>
      </w:r>
      <w:r w:rsidRPr="001F7CB0">
        <w:rPr>
          <w:bCs/>
          <w:color w:val="000000"/>
          <w:shd w:val="clear" w:color="auto" w:fill="FFFFFF"/>
        </w:rPr>
        <w:t>reviewers.</w:t>
      </w:r>
      <w:r>
        <w:rPr>
          <w:bCs/>
          <w:color w:val="000000"/>
          <w:shd w:val="clear" w:color="auto" w:fill="FFFFFF"/>
        </w:rPr>
        <w:t xml:space="preserve"> </w:t>
      </w:r>
      <w:r w:rsidR="00932A2B" w:rsidRPr="001F7CB0">
        <w:t>An expert panel of internation</w:t>
      </w:r>
      <w:r w:rsidR="00932A2B">
        <w:t xml:space="preserve">al pediatric nephrologists </w:t>
      </w:r>
      <w:r w:rsidR="00672ACC">
        <w:t xml:space="preserve">discussed </w:t>
      </w:r>
      <w:r w:rsidR="00932A2B" w:rsidRPr="001F7CB0">
        <w:t xml:space="preserve">renal replacement therapy of </w:t>
      </w:r>
      <w:proofErr w:type="spellStart"/>
      <w:r w:rsidR="00932A2B" w:rsidRPr="001F7CB0">
        <w:t>hyperammonemia</w:t>
      </w:r>
      <w:proofErr w:type="spellEnd"/>
      <w:r w:rsidR="00932A2B" w:rsidRPr="001F7CB0">
        <w:t xml:space="preserve"> at a consensus conference to provide recommendations.</w:t>
      </w:r>
    </w:p>
    <w:p w:rsidR="00327333" w:rsidRDefault="00E50FA8" w:rsidP="00E50FA8">
      <w:pPr>
        <w:rPr>
          <w:color w:val="000000"/>
        </w:rPr>
      </w:pPr>
      <w:r w:rsidRPr="00E50FA8">
        <w:rPr>
          <w:b/>
          <w:bCs/>
          <w:color w:val="000000"/>
          <w:shd w:val="clear" w:color="auto" w:fill="FFFFFF"/>
        </w:rPr>
        <w:t>Results:</w:t>
      </w:r>
      <w:r>
        <w:rPr>
          <w:bCs/>
          <w:color w:val="000000"/>
          <w:shd w:val="clear" w:color="auto" w:fill="FFFFFF"/>
        </w:rPr>
        <w:t xml:space="preserve"> </w:t>
      </w:r>
      <w:r w:rsidRPr="001F7CB0">
        <w:rPr>
          <w:color w:val="000000"/>
        </w:rPr>
        <w:t xml:space="preserve">The initial search returned a total of 477 citations </w:t>
      </w:r>
      <w:r w:rsidR="00672ACC">
        <w:rPr>
          <w:color w:val="000000"/>
        </w:rPr>
        <w:t xml:space="preserve">and </w:t>
      </w:r>
      <w:r w:rsidRPr="00B17002">
        <w:rPr>
          <w:color w:val="000000"/>
        </w:rPr>
        <w:t>25</w:t>
      </w:r>
      <w:r>
        <w:rPr>
          <w:color w:val="000000"/>
        </w:rPr>
        <w:t xml:space="preserve"> studies met the</w:t>
      </w:r>
      <w:r w:rsidRPr="00B17002">
        <w:rPr>
          <w:color w:val="000000"/>
        </w:rPr>
        <w:t xml:space="preserve"> inclusion criteria</w:t>
      </w:r>
      <w:r w:rsidR="00691293">
        <w:rPr>
          <w:color w:val="000000"/>
        </w:rPr>
        <w:t>.</w:t>
      </w:r>
      <w:r w:rsidRPr="00B17002">
        <w:rPr>
          <w:color w:val="000000"/>
        </w:rPr>
        <w:t xml:space="preserve"> A total of 132 patients were included in these 25 studies</w:t>
      </w:r>
      <w:r w:rsidR="00A3033B">
        <w:rPr>
          <w:color w:val="000000"/>
        </w:rPr>
        <w:t xml:space="preserve">. </w:t>
      </w:r>
      <w:r w:rsidRPr="001F7CB0">
        <w:rPr>
          <w:color w:val="000000"/>
        </w:rPr>
        <w:t xml:space="preserve">23 patients with </w:t>
      </w:r>
      <w:proofErr w:type="spellStart"/>
      <w:r w:rsidRPr="001F7CB0">
        <w:rPr>
          <w:color w:val="000000"/>
        </w:rPr>
        <w:t>hyperammonemia</w:t>
      </w:r>
      <w:proofErr w:type="spellEnd"/>
      <w:r w:rsidRPr="001F7CB0">
        <w:rPr>
          <w:color w:val="000000"/>
        </w:rPr>
        <w:t xml:space="preserve"> were treated with peritoneal dial</w:t>
      </w:r>
      <w:r w:rsidR="00672ACC">
        <w:rPr>
          <w:color w:val="000000"/>
        </w:rPr>
        <w:t>ysis with</w:t>
      </w:r>
      <w:r>
        <w:rPr>
          <w:color w:val="000000"/>
        </w:rPr>
        <w:t xml:space="preserve"> 65% success rate. 5</w:t>
      </w:r>
      <w:r w:rsidRPr="001F7CB0">
        <w:rPr>
          <w:color w:val="000000"/>
        </w:rPr>
        <w:t xml:space="preserve"> patients were treated with intermittent hemodialysis </w:t>
      </w:r>
      <w:r w:rsidR="00672ACC">
        <w:rPr>
          <w:color w:val="000000"/>
        </w:rPr>
        <w:t xml:space="preserve">with </w:t>
      </w:r>
      <w:r w:rsidRPr="001F7CB0">
        <w:rPr>
          <w:color w:val="000000"/>
        </w:rPr>
        <w:t>100% success rate.</w:t>
      </w:r>
      <w:r>
        <w:rPr>
          <w:color w:val="000000"/>
        </w:rPr>
        <w:t xml:space="preserve"> 92</w:t>
      </w:r>
      <w:r w:rsidRPr="001F7CB0">
        <w:rPr>
          <w:color w:val="000000"/>
        </w:rPr>
        <w:t xml:space="preserve"> patient</w:t>
      </w:r>
      <w:r w:rsidR="00672ACC">
        <w:rPr>
          <w:color w:val="000000"/>
        </w:rPr>
        <w:t xml:space="preserve">s were treated with CRRT with </w:t>
      </w:r>
      <w:r w:rsidRPr="001F7CB0">
        <w:rPr>
          <w:color w:val="000000"/>
        </w:rPr>
        <w:t>60% success rate.</w:t>
      </w:r>
      <w:r>
        <w:rPr>
          <w:color w:val="000000"/>
        </w:rPr>
        <w:t xml:space="preserve"> </w:t>
      </w:r>
      <w:r w:rsidRPr="001F7CB0">
        <w:rPr>
          <w:color w:val="000000"/>
        </w:rPr>
        <w:t>3 patients were treated with ECMO combin</w:t>
      </w:r>
      <w:r w:rsidR="00672ACC">
        <w:rPr>
          <w:color w:val="000000"/>
        </w:rPr>
        <w:t>ed with a form of CRRT and had</w:t>
      </w:r>
      <w:r w:rsidRPr="001F7CB0">
        <w:rPr>
          <w:color w:val="000000"/>
        </w:rPr>
        <w:t xml:space="preserve"> 100% success rate</w:t>
      </w:r>
      <w:r w:rsidR="004735AC">
        <w:rPr>
          <w:color w:val="000000"/>
        </w:rPr>
        <w:t>.</w:t>
      </w:r>
    </w:p>
    <w:p w:rsidR="00C75143" w:rsidRDefault="00327333" w:rsidP="00E50FA8">
      <w:r>
        <w:rPr>
          <w:b/>
          <w:color w:val="000000"/>
        </w:rPr>
        <w:t xml:space="preserve">Conclusion: </w:t>
      </w:r>
      <w:r w:rsidR="00E50FA8">
        <w:t>E</w:t>
      </w:r>
      <w:r w:rsidR="00C75143" w:rsidRPr="00C93EDB">
        <w:t>xpert panel recommendations were provided with regards to</w:t>
      </w:r>
      <w:r w:rsidR="00A3033B">
        <w:t xml:space="preserve"> non-renal replacement therapies,</w:t>
      </w:r>
      <w:r w:rsidR="00C75143" w:rsidRPr="00C93EDB">
        <w:t xml:space="preserve"> hemodialysis</w:t>
      </w:r>
      <w:r w:rsidR="00C75143">
        <w:t xml:space="preserve">, </w:t>
      </w:r>
      <w:r w:rsidR="00C75143" w:rsidRPr="00C93EDB">
        <w:t>peritoneal dialysis, continuous renal replacement therapy,</w:t>
      </w:r>
      <w:r w:rsidR="00C75143">
        <w:t xml:space="preserve"> high dose continuous renal replacement therapy, and hybrid therapy</w:t>
      </w:r>
      <w:r w:rsidR="00A3033B">
        <w:t>.</w:t>
      </w:r>
      <w:r w:rsidR="002C29A2">
        <w:t xml:space="preserve"> CRRT was recommended as the first line therapy.</w:t>
      </w:r>
      <w:r w:rsidR="00A3033B">
        <w:t xml:space="preserve"> </w:t>
      </w:r>
      <w:r w:rsidR="002C29A2">
        <w:t>Indications for RRT</w:t>
      </w:r>
      <w:r w:rsidR="00691293" w:rsidRPr="001F7CB0">
        <w:t xml:space="preserve"> was variable; RRT</w:t>
      </w:r>
      <w:r w:rsidR="002C29A2">
        <w:t xml:space="preserve"> was</w:t>
      </w:r>
      <w:r w:rsidR="00691293" w:rsidRPr="001F7CB0">
        <w:t xml:space="preserve"> </w:t>
      </w:r>
      <w:r w:rsidR="002C29A2">
        <w:t>recommended at ammonia level &gt; 400mmol/L</w:t>
      </w:r>
      <w:r w:rsidR="00691293" w:rsidRPr="001F7CB0">
        <w:t xml:space="preserve">, </w:t>
      </w:r>
      <w:r w:rsidR="002C29A2">
        <w:t>but also</w:t>
      </w:r>
      <w:r w:rsidR="00691293" w:rsidRPr="001F7CB0">
        <w:t xml:space="preserve"> when the patient was hemodynamically unstable, irrespective of ammonia level. </w:t>
      </w:r>
      <w:r w:rsidR="002C29A2" w:rsidRPr="00BB555E">
        <w:t>More studies are needed to further strengthen the recommendations made in this guideline.</w:t>
      </w:r>
    </w:p>
    <w:sectPr w:rsidR="00C75143" w:rsidSect="00006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143"/>
    <w:rsid w:val="000065B4"/>
    <w:rsid w:val="000C30AC"/>
    <w:rsid w:val="00173F4A"/>
    <w:rsid w:val="00245924"/>
    <w:rsid w:val="002C29A2"/>
    <w:rsid w:val="00327333"/>
    <w:rsid w:val="003C6371"/>
    <w:rsid w:val="003F17D4"/>
    <w:rsid w:val="004735AC"/>
    <w:rsid w:val="00480298"/>
    <w:rsid w:val="005D4683"/>
    <w:rsid w:val="00672ACC"/>
    <w:rsid w:val="00691293"/>
    <w:rsid w:val="006E5E80"/>
    <w:rsid w:val="00765075"/>
    <w:rsid w:val="008541F7"/>
    <w:rsid w:val="008B70AE"/>
    <w:rsid w:val="00924BCB"/>
    <w:rsid w:val="00932A2B"/>
    <w:rsid w:val="00953A88"/>
    <w:rsid w:val="009B7158"/>
    <w:rsid w:val="00A3033B"/>
    <w:rsid w:val="00C61BB7"/>
    <w:rsid w:val="00C75143"/>
    <w:rsid w:val="00CC793D"/>
    <w:rsid w:val="00D72AA6"/>
    <w:rsid w:val="00E50FA8"/>
    <w:rsid w:val="00E777D8"/>
    <w:rsid w:val="00F01D4B"/>
    <w:rsid w:val="00F7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14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14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Meghana Vemuganti</dc:creator>
  <cp:lastModifiedBy>Binnie</cp:lastModifiedBy>
  <cp:revision>2</cp:revision>
  <dcterms:created xsi:type="dcterms:W3CDTF">2018-09-16T15:47:00Z</dcterms:created>
  <dcterms:modified xsi:type="dcterms:W3CDTF">2018-09-16T15:47:00Z</dcterms:modified>
</cp:coreProperties>
</file>