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CF24F" w14:textId="77777777" w:rsidR="0057610A" w:rsidRPr="00C91CD3" w:rsidRDefault="0057610A" w:rsidP="0057610A">
      <w:pPr>
        <w:rPr>
          <w:rFonts w:asciiTheme="minorHAnsi" w:hAnsiTheme="minorHAnsi"/>
          <w:b/>
          <w:sz w:val="28"/>
          <w:szCs w:val="28"/>
        </w:rPr>
      </w:pPr>
      <w:bookmarkStart w:id="0" w:name="_GoBack"/>
      <w:bookmarkEnd w:id="0"/>
      <w:r>
        <w:rPr>
          <w:rFonts w:asciiTheme="minorHAnsi" w:hAnsiTheme="minorHAnsi"/>
          <w:b/>
          <w:sz w:val="28"/>
          <w:szCs w:val="28"/>
        </w:rPr>
        <w:t>S</w:t>
      </w:r>
      <w:r w:rsidRPr="00C91CD3">
        <w:rPr>
          <w:rFonts w:asciiTheme="minorHAnsi" w:hAnsiTheme="minorHAnsi"/>
          <w:b/>
          <w:sz w:val="28"/>
          <w:szCs w:val="28"/>
        </w:rPr>
        <w:t xml:space="preserve">tatus epilepticus </w:t>
      </w:r>
      <w:r>
        <w:rPr>
          <w:rFonts w:asciiTheme="minorHAnsi" w:hAnsiTheme="minorHAnsi"/>
          <w:b/>
          <w:sz w:val="28"/>
          <w:szCs w:val="28"/>
        </w:rPr>
        <w:t xml:space="preserve">secondary to </w:t>
      </w:r>
      <w:proofErr w:type="spellStart"/>
      <w:r>
        <w:rPr>
          <w:rFonts w:asciiTheme="minorHAnsi" w:hAnsiTheme="minorHAnsi"/>
          <w:b/>
          <w:sz w:val="28"/>
          <w:szCs w:val="28"/>
        </w:rPr>
        <w:t>cefepime</w:t>
      </w:r>
      <w:proofErr w:type="spellEnd"/>
      <w:r>
        <w:rPr>
          <w:rFonts w:asciiTheme="minorHAnsi" w:hAnsiTheme="minorHAnsi"/>
          <w:b/>
          <w:sz w:val="28"/>
          <w:szCs w:val="28"/>
        </w:rPr>
        <w:t xml:space="preserve"> toxicity </w:t>
      </w:r>
      <w:r w:rsidRPr="00C91CD3">
        <w:rPr>
          <w:rFonts w:asciiTheme="minorHAnsi" w:hAnsiTheme="minorHAnsi"/>
          <w:b/>
          <w:sz w:val="28"/>
          <w:szCs w:val="28"/>
        </w:rPr>
        <w:t>in end stage renal disease</w:t>
      </w:r>
    </w:p>
    <w:p w14:paraId="50A891C5" w14:textId="77777777" w:rsidR="0057610A" w:rsidRDefault="0057610A" w:rsidP="0057610A">
      <w:pPr>
        <w:rPr>
          <w:rFonts w:asciiTheme="minorHAnsi" w:hAnsiTheme="minorHAnsi"/>
          <w:i/>
          <w:u w:val="single"/>
        </w:rPr>
      </w:pPr>
    </w:p>
    <w:p w14:paraId="6DED20EF" w14:textId="605AA45E" w:rsidR="0057610A" w:rsidRDefault="0057610A" w:rsidP="0057610A">
      <w:pPr>
        <w:rPr>
          <w:rFonts w:asciiTheme="minorHAnsi" w:hAnsiTheme="minorHAnsi"/>
          <w:i/>
          <w:vertAlign w:val="superscript"/>
        </w:rPr>
      </w:pPr>
      <w:r>
        <w:rPr>
          <w:rFonts w:asciiTheme="minorHAnsi" w:hAnsiTheme="minorHAnsi"/>
          <w:i/>
        </w:rPr>
        <w:t>Abhijit Das</w:t>
      </w:r>
      <w:r>
        <w:rPr>
          <w:rFonts w:asciiTheme="minorHAnsi" w:hAnsiTheme="minorHAnsi"/>
          <w:i/>
          <w:vertAlign w:val="superscript"/>
        </w:rPr>
        <w:t>1</w:t>
      </w:r>
      <w:r>
        <w:rPr>
          <w:rFonts w:asciiTheme="minorHAnsi" w:hAnsiTheme="minorHAnsi"/>
          <w:i/>
        </w:rPr>
        <w:t xml:space="preserve">, </w:t>
      </w:r>
      <w:proofErr w:type="spellStart"/>
      <w:r w:rsidRPr="00545EDB">
        <w:rPr>
          <w:rFonts w:asciiTheme="minorHAnsi" w:hAnsiTheme="minorHAnsi"/>
          <w:i/>
        </w:rPr>
        <w:t>Mohit</w:t>
      </w:r>
      <w:proofErr w:type="spellEnd"/>
      <w:r w:rsidRPr="00545EDB">
        <w:rPr>
          <w:rFonts w:asciiTheme="minorHAnsi" w:hAnsiTheme="minorHAnsi"/>
          <w:i/>
        </w:rPr>
        <w:t xml:space="preserve"> Gupta</w:t>
      </w:r>
      <w:r>
        <w:rPr>
          <w:rFonts w:asciiTheme="minorHAnsi" w:hAnsiTheme="minorHAnsi"/>
          <w:i/>
          <w:vertAlign w:val="superscript"/>
        </w:rPr>
        <w:t>2</w:t>
      </w:r>
      <w:r w:rsidRPr="00C91CD3">
        <w:rPr>
          <w:rFonts w:asciiTheme="minorHAnsi" w:hAnsiTheme="minorHAnsi"/>
          <w:i/>
        </w:rPr>
        <w:t>,</w:t>
      </w:r>
      <w:r>
        <w:rPr>
          <w:rFonts w:asciiTheme="minorHAnsi" w:hAnsiTheme="minorHAnsi"/>
          <w:i/>
        </w:rPr>
        <w:t xml:space="preserve"> Vinod Krishnappa</w:t>
      </w:r>
      <w:r>
        <w:rPr>
          <w:rFonts w:asciiTheme="minorHAnsi" w:hAnsiTheme="minorHAnsi"/>
          <w:i/>
          <w:vertAlign w:val="superscript"/>
        </w:rPr>
        <w:t>3</w:t>
      </w:r>
      <w:r>
        <w:rPr>
          <w:rFonts w:asciiTheme="minorHAnsi" w:hAnsiTheme="minorHAnsi"/>
          <w:i/>
        </w:rPr>
        <w:t>, Paul Nemer</w:t>
      </w:r>
      <w:r>
        <w:rPr>
          <w:rFonts w:asciiTheme="minorHAnsi" w:hAnsiTheme="minorHAnsi"/>
          <w:i/>
          <w:vertAlign w:val="superscript"/>
        </w:rPr>
        <w:t>3</w:t>
      </w:r>
      <w:r>
        <w:rPr>
          <w:rFonts w:asciiTheme="minorHAnsi" w:hAnsiTheme="minorHAnsi"/>
          <w:i/>
        </w:rPr>
        <w:t>,</w:t>
      </w:r>
      <w:r w:rsidRPr="00C91CD3">
        <w:rPr>
          <w:rFonts w:asciiTheme="minorHAnsi" w:hAnsiTheme="minorHAnsi"/>
          <w:i/>
        </w:rPr>
        <w:t xml:space="preserve"> </w:t>
      </w:r>
      <w:proofErr w:type="spellStart"/>
      <w:r w:rsidRPr="00C91CD3">
        <w:rPr>
          <w:rFonts w:asciiTheme="minorHAnsi" w:hAnsiTheme="minorHAnsi"/>
          <w:i/>
        </w:rPr>
        <w:t>Jayaprakash</w:t>
      </w:r>
      <w:proofErr w:type="spellEnd"/>
      <w:r w:rsidRPr="00C91CD3">
        <w:rPr>
          <w:rFonts w:asciiTheme="minorHAnsi" w:hAnsiTheme="minorHAnsi"/>
          <w:i/>
        </w:rPr>
        <w:t xml:space="preserve"> Dasari</w:t>
      </w:r>
      <w:r>
        <w:rPr>
          <w:rFonts w:asciiTheme="minorHAnsi" w:hAnsiTheme="minorHAnsi"/>
          <w:i/>
          <w:vertAlign w:val="superscript"/>
        </w:rPr>
        <w:t>2, 4</w:t>
      </w:r>
      <w:r w:rsidRPr="00C91CD3">
        <w:rPr>
          <w:rFonts w:asciiTheme="minorHAnsi" w:hAnsiTheme="minorHAnsi"/>
          <w:i/>
        </w:rPr>
        <w:t xml:space="preserve">, </w:t>
      </w:r>
      <w:proofErr w:type="spellStart"/>
      <w:r w:rsidRPr="00C91CD3">
        <w:rPr>
          <w:rFonts w:asciiTheme="minorHAnsi" w:hAnsiTheme="minorHAnsi"/>
          <w:i/>
        </w:rPr>
        <w:t>Raed</w:t>
      </w:r>
      <w:proofErr w:type="spellEnd"/>
      <w:r w:rsidRPr="00C91CD3">
        <w:rPr>
          <w:rFonts w:asciiTheme="minorHAnsi" w:hAnsiTheme="minorHAnsi"/>
          <w:i/>
        </w:rPr>
        <w:t xml:space="preserve"> Azzem</w:t>
      </w:r>
      <w:r>
        <w:rPr>
          <w:rFonts w:asciiTheme="minorHAnsi" w:hAnsiTheme="minorHAnsi"/>
          <w:i/>
          <w:vertAlign w:val="superscript"/>
        </w:rPr>
        <w:t>2</w:t>
      </w:r>
      <w:r w:rsidRPr="00C91CD3">
        <w:rPr>
          <w:rFonts w:asciiTheme="minorHAnsi" w:hAnsiTheme="minorHAnsi"/>
          <w:i/>
        </w:rPr>
        <w:t>, Donald Dumford</w:t>
      </w:r>
      <w:r>
        <w:rPr>
          <w:rFonts w:asciiTheme="minorHAnsi" w:hAnsiTheme="minorHAnsi"/>
          <w:i/>
          <w:vertAlign w:val="superscript"/>
        </w:rPr>
        <w:t>2</w:t>
      </w:r>
      <w:r w:rsidRPr="00C91CD3">
        <w:rPr>
          <w:rFonts w:asciiTheme="minorHAnsi" w:hAnsiTheme="minorHAnsi"/>
          <w:i/>
        </w:rPr>
        <w:t>, Patrick Gallegos</w:t>
      </w:r>
      <w:r>
        <w:rPr>
          <w:rFonts w:asciiTheme="minorHAnsi" w:hAnsiTheme="minorHAnsi"/>
          <w:i/>
          <w:vertAlign w:val="superscript"/>
        </w:rPr>
        <w:t>2</w:t>
      </w:r>
      <w:r w:rsidRPr="00C91CD3">
        <w:rPr>
          <w:rFonts w:asciiTheme="minorHAnsi" w:hAnsiTheme="minorHAnsi"/>
          <w:i/>
        </w:rPr>
        <w:t xml:space="preserve">, </w:t>
      </w:r>
      <w:proofErr w:type="spellStart"/>
      <w:r w:rsidRPr="00C91CD3">
        <w:rPr>
          <w:rFonts w:asciiTheme="minorHAnsi" w:hAnsiTheme="minorHAnsi"/>
          <w:i/>
        </w:rPr>
        <w:t>Rupesh</w:t>
      </w:r>
      <w:proofErr w:type="spellEnd"/>
      <w:r w:rsidRPr="00C91CD3">
        <w:rPr>
          <w:rFonts w:asciiTheme="minorHAnsi" w:hAnsiTheme="minorHAnsi"/>
          <w:i/>
        </w:rPr>
        <w:t xml:space="preserve"> Raina</w:t>
      </w:r>
      <w:r>
        <w:rPr>
          <w:rFonts w:asciiTheme="minorHAnsi" w:hAnsiTheme="minorHAnsi"/>
          <w:i/>
          <w:vertAlign w:val="superscript"/>
        </w:rPr>
        <w:t>2, 4</w:t>
      </w:r>
    </w:p>
    <w:p w14:paraId="3D156005" w14:textId="77777777" w:rsidR="0057610A" w:rsidRDefault="0057610A" w:rsidP="0057610A">
      <w:pPr>
        <w:rPr>
          <w:rFonts w:asciiTheme="minorHAnsi" w:hAnsiTheme="minorHAnsi"/>
          <w:i/>
          <w:vertAlign w:val="superscript"/>
        </w:rPr>
      </w:pPr>
    </w:p>
    <w:p w14:paraId="78116892" w14:textId="77777777" w:rsidR="0057610A" w:rsidRDefault="0057610A" w:rsidP="0057610A">
      <w:pPr>
        <w:rPr>
          <w:rFonts w:asciiTheme="minorHAnsi" w:hAnsiTheme="minorHAnsi"/>
          <w:i/>
          <w:vertAlign w:val="superscript"/>
        </w:rPr>
      </w:pPr>
    </w:p>
    <w:p w14:paraId="4EE59130" w14:textId="621EADCC" w:rsidR="0057610A" w:rsidRPr="0057610A" w:rsidRDefault="0057610A" w:rsidP="0057610A">
      <w:pPr>
        <w:rPr>
          <w:rFonts w:asciiTheme="minorHAnsi" w:hAnsiTheme="minorHAnsi"/>
        </w:rPr>
      </w:pPr>
      <w:r>
        <w:rPr>
          <w:rFonts w:asciiTheme="minorHAnsi" w:hAnsiTheme="minorHAnsi"/>
          <w:vertAlign w:val="superscript"/>
        </w:rPr>
        <w:t>1</w:t>
      </w:r>
      <w:r>
        <w:rPr>
          <w:rFonts w:asciiTheme="minorHAnsi" w:hAnsiTheme="minorHAnsi"/>
        </w:rPr>
        <w:t>Northeast Ohio Medical University, Rootstown, Ohio, USA</w:t>
      </w:r>
    </w:p>
    <w:p w14:paraId="57FFCADC" w14:textId="197CB68E" w:rsidR="0057610A" w:rsidRPr="00C91CD3" w:rsidRDefault="0057610A" w:rsidP="0057610A">
      <w:pPr>
        <w:rPr>
          <w:rFonts w:asciiTheme="minorHAnsi" w:hAnsiTheme="minorHAnsi"/>
        </w:rPr>
      </w:pPr>
      <w:r>
        <w:rPr>
          <w:rFonts w:asciiTheme="minorHAnsi" w:hAnsiTheme="minorHAnsi"/>
          <w:vertAlign w:val="superscript"/>
        </w:rPr>
        <w:t>2</w:t>
      </w:r>
      <w:r>
        <w:rPr>
          <w:rFonts w:asciiTheme="minorHAnsi" w:hAnsiTheme="minorHAnsi"/>
        </w:rPr>
        <w:t xml:space="preserve">Department of Internal Medicine, </w:t>
      </w:r>
      <w:r w:rsidRPr="00C91CD3">
        <w:rPr>
          <w:rFonts w:asciiTheme="minorHAnsi" w:hAnsiTheme="minorHAnsi"/>
        </w:rPr>
        <w:t>Cleveland Clinic Akron General, Akron, Ohio, USA</w:t>
      </w:r>
    </w:p>
    <w:p w14:paraId="6CD83C81" w14:textId="77777777" w:rsidR="0057610A" w:rsidRPr="00C91CD3" w:rsidRDefault="0057610A" w:rsidP="0057610A">
      <w:pPr>
        <w:rPr>
          <w:rFonts w:asciiTheme="minorHAnsi" w:hAnsiTheme="minorHAnsi"/>
        </w:rPr>
      </w:pPr>
      <w:r>
        <w:rPr>
          <w:rFonts w:asciiTheme="minorHAnsi" w:hAnsiTheme="minorHAnsi"/>
          <w:vertAlign w:val="superscript"/>
        </w:rPr>
        <w:t>3</w:t>
      </w:r>
      <w:r>
        <w:rPr>
          <w:rFonts w:asciiTheme="minorHAnsi" w:hAnsiTheme="minorHAnsi"/>
        </w:rPr>
        <w:t>Cleveland Clinic Akron General/Akron Nephrology Associates</w:t>
      </w:r>
    </w:p>
    <w:p w14:paraId="3E95FF46" w14:textId="77777777" w:rsidR="0057610A" w:rsidRPr="00C91CD3" w:rsidRDefault="0057610A" w:rsidP="0057610A">
      <w:pPr>
        <w:rPr>
          <w:rFonts w:asciiTheme="minorHAnsi" w:hAnsiTheme="minorHAnsi"/>
        </w:rPr>
      </w:pPr>
      <w:r>
        <w:rPr>
          <w:rFonts w:asciiTheme="minorHAnsi" w:hAnsiTheme="minorHAnsi"/>
          <w:vertAlign w:val="superscript"/>
        </w:rPr>
        <w:t>4</w:t>
      </w:r>
      <w:r>
        <w:rPr>
          <w:rFonts w:asciiTheme="minorHAnsi" w:hAnsiTheme="minorHAnsi"/>
        </w:rPr>
        <w:t xml:space="preserve">Department of Nephrology, </w:t>
      </w:r>
      <w:r w:rsidRPr="00C91CD3">
        <w:rPr>
          <w:rFonts w:asciiTheme="minorHAnsi" w:hAnsiTheme="minorHAnsi"/>
        </w:rPr>
        <w:t>Cleveland Clinic Akron General, Akron, Ohio, USA</w:t>
      </w:r>
    </w:p>
    <w:p w14:paraId="63CF7B60" w14:textId="77777777" w:rsidR="0057610A" w:rsidRDefault="0057610A">
      <w:pPr>
        <w:rPr>
          <w:rFonts w:asciiTheme="minorHAnsi" w:hAnsiTheme="minorHAnsi"/>
          <w:b/>
        </w:rPr>
      </w:pPr>
    </w:p>
    <w:p w14:paraId="3E8DA92A" w14:textId="77777777" w:rsidR="00C70817" w:rsidRDefault="00C70817" w:rsidP="00C70817">
      <w:pPr>
        <w:spacing w:line="480" w:lineRule="auto"/>
        <w:rPr>
          <w:rFonts w:asciiTheme="minorHAnsi" w:hAnsiTheme="minorHAnsi"/>
          <w:b/>
        </w:rPr>
      </w:pPr>
    </w:p>
    <w:p w14:paraId="6CA1B87C" w14:textId="7C0B060D" w:rsidR="0056761A" w:rsidRDefault="0056761A" w:rsidP="00C70817">
      <w:pPr>
        <w:spacing w:line="480" w:lineRule="auto"/>
        <w:rPr>
          <w:rFonts w:asciiTheme="minorHAnsi" w:hAnsiTheme="minorHAnsi"/>
        </w:rPr>
      </w:pPr>
      <w:r w:rsidRPr="0056761A">
        <w:rPr>
          <w:rFonts w:asciiTheme="minorHAnsi" w:hAnsiTheme="minorHAnsi"/>
          <w:b/>
        </w:rPr>
        <w:t>Introduction</w:t>
      </w:r>
      <w:r>
        <w:rPr>
          <w:rFonts w:asciiTheme="minorHAnsi" w:hAnsiTheme="minorHAnsi"/>
        </w:rPr>
        <w:t xml:space="preserve">: </w:t>
      </w:r>
      <w:proofErr w:type="spellStart"/>
      <w:r w:rsidRPr="00951992">
        <w:rPr>
          <w:rFonts w:asciiTheme="minorHAnsi" w:hAnsiTheme="minorHAnsi"/>
        </w:rPr>
        <w:t>Nonconvulsive</w:t>
      </w:r>
      <w:proofErr w:type="spellEnd"/>
      <w:r w:rsidRPr="00951992">
        <w:rPr>
          <w:rFonts w:asciiTheme="minorHAnsi" w:hAnsiTheme="minorHAnsi"/>
        </w:rPr>
        <w:t xml:space="preserve"> status epilepticus is an acute neurological disorder that manifest</w:t>
      </w:r>
      <w:r>
        <w:rPr>
          <w:rFonts w:asciiTheme="minorHAnsi" w:hAnsiTheme="minorHAnsi"/>
        </w:rPr>
        <w:t>s without</w:t>
      </w:r>
      <w:r w:rsidRPr="00951992">
        <w:rPr>
          <w:rFonts w:asciiTheme="minorHAnsi" w:hAnsiTheme="minorHAnsi"/>
        </w:rPr>
        <w:t xml:space="preserve"> grossly noticeable symptoms</w:t>
      </w:r>
      <w:r>
        <w:rPr>
          <w:rFonts w:asciiTheme="minorHAnsi" w:hAnsiTheme="minorHAnsi"/>
        </w:rPr>
        <w:t xml:space="preserve">. Toxicity of </w:t>
      </w:r>
      <w:proofErr w:type="spellStart"/>
      <w:r>
        <w:rPr>
          <w:rFonts w:asciiTheme="minorHAnsi" w:hAnsiTheme="minorHAnsi"/>
        </w:rPr>
        <w:t>cefepime</w:t>
      </w:r>
      <w:proofErr w:type="spellEnd"/>
      <w:r w:rsidRPr="00951992">
        <w:rPr>
          <w:rFonts w:asciiTheme="minorHAnsi" w:hAnsiTheme="minorHAnsi"/>
        </w:rPr>
        <w:t>, a broad-s</w:t>
      </w:r>
      <w:r>
        <w:rPr>
          <w:rFonts w:asciiTheme="minorHAnsi" w:hAnsiTheme="minorHAnsi"/>
        </w:rPr>
        <w:t>pectrum cephalosporin antibiotic</w:t>
      </w:r>
      <w:r w:rsidR="004B7A56">
        <w:rPr>
          <w:rFonts w:asciiTheme="minorHAnsi" w:hAnsiTheme="minorHAnsi"/>
        </w:rPr>
        <w:t>,</w:t>
      </w:r>
      <w:r>
        <w:rPr>
          <w:rFonts w:asciiTheme="minorHAnsi" w:hAnsiTheme="minorHAnsi"/>
        </w:rPr>
        <w:t xml:space="preserve"> is associated with </w:t>
      </w:r>
      <w:proofErr w:type="spellStart"/>
      <w:r>
        <w:rPr>
          <w:rFonts w:asciiTheme="minorHAnsi" w:hAnsiTheme="minorHAnsi"/>
        </w:rPr>
        <w:t>nonconvulsive</w:t>
      </w:r>
      <w:proofErr w:type="spellEnd"/>
      <w:r>
        <w:rPr>
          <w:rFonts w:asciiTheme="minorHAnsi" w:hAnsiTheme="minorHAnsi"/>
        </w:rPr>
        <w:t xml:space="preserve"> status epilepticus</w:t>
      </w:r>
      <w:r w:rsidRPr="00951992">
        <w:rPr>
          <w:rFonts w:asciiTheme="minorHAnsi" w:hAnsiTheme="minorHAnsi"/>
        </w:rPr>
        <w:t xml:space="preserve">. The widely accepted mechanism of </w:t>
      </w:r>
      <w:r>
        <w:rPr>
          <w:rFonts w:asciiTheme="minorHAnsi" w:hAnsiTheme="minorHAnsi"/>
        </w:rPr>
        <w:t>neuro</w:t>
      </w:r>
      <w:r w:rsidRPr="00951992">
        <w:rPr>
          <w:rFonts w:asciiTheme="minorHAnsi" w:hAnsiTheme="minorHAnsi"/>
        </w:rPr>
        <w:t xml:space="preserve">toxicity is </w:t>
      </w:r>
      <w:r>
        <w:rPr>
          <w:rFonts w:asciiTheme="minorHAnsi" w:hAnsiTheme="minorHAnsi"/>
        </w:rPr>
        <w:t>antagonism of inhibitory GABA</w:t>
      </w:r>
      <w:r>
        <w:rPr>
          <w:rFonts w:asciiTheme="minorHAnsi" w:hAnsiTheme="minorHAnsi"/>
          <w:vertAlign w:val="subscript"/>
        </w:rPr>
        <w:t>A</w:t>
      </w:r>
      <w:r w:rsidRPr="00951992">
        <w:rPr>
          <w:rFonts w:asciiTheme="minorHAnsi" w:hAnsiTheme="minorHAnsi"/>
        </w:rPr>
        <w:t xml:space="preserve"> receptor</w:t>
      </w:r>
      <w:r>
        <w:rPr>
          <w:rFonts w:asciiTheme="minorHAnsi" w:hAnsiTheme="minorHAnsi"/>
        </w:rPr>
        <w:t>s</w:t>
      </w:r>
      <w:r w:rsidRPr="00951992">
        <w:rPr>
          <w:rFonts w:asciiTheme="minorHAnsi" w:hAnsiTheme="minorHAnsi"/>
        </w:rPr>
        <w:t xml:space="preserve">. A key risk factor for developing </w:t>
      </w:r>
      <w:r>
        <w:rPr>
          <w:rFonts w:asciiTheme="minorHAnsi" w:hAnsiTheme="minorHAnsi"/>
        </w:rPr>
        <w:t>neurotoxicity</w:t>
      </w:r>
      <w:r w:rsidRPr="00951992">
        <w:rPr>
          <w:rFonts w:asciiTheme="minorHAnsi" w:hAnsiTheme="minorHAnsi"/>
        </w:rPr>
        <w:t xml:space="preserve"> is impaired renal function, although it has been documented in patients with normal renal function</w:t>
      </w:r>
      <w:r>
        <w:rPr>
          <w:rFonts w:asciiTheme="minorHAnsi" w:hAnsiTheme="minorHAnsi"/>
        </w:rPr>
        <w:t xml:space="preserve">. </w:t>
      </w:r>
    </w:p>
    <w:p w14:paraId="132F6BAE" w14:textId="77777777" w:rsidR="0056761A" w:rsidRDefault="0056761A" w:rsidP="00C70817">
      <w:pPr>
        <w:spacing w:line="480" w:lineRule="auto"/>
        <w:rPr>
          <w:rFonts w:asciiTheme="minorHAnsi" w:hAnsiTheme="minorHAnsi"/>
        </w:rPr>
      </w:pPr>
    </w:p>
    <w:p w14:paraId="1D42A4CA" w14:textId="0299128B" w:rsidR="0056761A" w:rsidRDefault="00AD6318" w:rsidP="00C70817">
      <w:pPr>
        <w:spacing w:line="480" w:lineRule="auto"/>
        <w:rPr>
          <w:rFonts w:asciiTheme="minorHAnsi" w:hAnsiTheme="minorHAnsi"/>
        </w:rPr>
      </w:pPr>
      <w:r>
        <w:rPr>
          <w:rFonts w:asciiTheme="minorHAnsi" w:hAnsiTheme="minorHAnsi"/>
          <w:b/>
        </w:rPr>
        <w:t>Case</w:t>
      </w:r>
      <w:r w:rsidR="0056761A">
        <w:rPr>
          <w:rFonts w:asciiTheme="minorHAnsi" w:hAnsiTheme="minorHAnsi"/>
        </w:rPr>
        <w:t>:</w:t>
      </w:r>
      <w:r w:rsidR="004331A7">
        <w:rPr>
          <w:rFonts w:asciiTheme="minorHAnsi" w:hAnsiTheme="minorHAnsi"/>
        </w:rPr>
        <w:t xml:space="preserve"> A 53-year-old female with end-stage chronic kidney disease on peritoneal dialysis presented to the emergency room for malfunctioning and leakage of the dialysis site. She was placed on antibiotic therapy due to concerns of peritonitis related to the catheter, including 2 grams of </w:t>
      </w:r>
      <w:proofErr w:type="spellStart"/>
      <w:r w:rsidR="004331A7">
        <w:rPr>
          <w:rFonts w:asciiTheme="minorHAnsi" w:hAnsiTheme="minorHAnsi"/>
        </w:rPr>
        <w:t>cefepime</w:t>
      </w:r>
      <w:proofErr w:type="spellEnd"/>
      <w:r w:rsidR="004331A7">
        <w:rPr>
          <w:rFonts w:asciiTheme="minorHAnsi" w:hAnsiTheme="minorHAnsi"/>
        </w:rPr>
        <w:t xml:space="preserve"> every 8 hours. Declining mental status over the course of three days led to an EEG diagnosis of </w:t>
      </w:r>
      <w:proofErr w:type="spellStart"/>
      <w:r w:rsidR="004331A7">
        <w:rPr>
          <w:rFonts w:asciiTheme="minorHAnsi" w:hAnsiTheme="minorHAnsi"/>
        </w:rPr>
        <w:t>nonconvulsive</w:t>
      </w:r>
      <w:proofErr w:type="spellEnd"/>
      <w:r w:rsidR="004331A7">
        <w:rPr>
          <w:rFonts w:asciiTheme="minorHAnsi" w:hAnsiTheme="minorHAnsi"/>
        </w:rPr>
        <w:t xml:space="preserve"> status epilepticus. Anti-epileptic therapy and hemodialysis </w:t>
      </w:r>
      <w:r w:rsidR="00B85E01">
        <w:rPr>
          <w:rFonts w:asciiTheme="minorHAnsi" w:hAnsiTheme="minorHAnsi"/>
        </w:rPr>
        <w:t>led to neurological resolution</w:t>
      </w:r>
      <w:r w:rsidR="004331A7">
        <w:rPr>
          <w:rFonts w:asciiTheme="minorHAnsi" w:hAnsiTheme="minorHAnsi"/>
        </w:rPr>
        <w:t xml:space="preserve"> and discharge on day 23.</w:t>
      </w:r>
    </w:p>
    <w:p w14:paraId="3610D379" w14:textId="77777777" w:rsidR="00C70817" w:rsidRDefault="00C70817" w:rsidP="00C70817">
      <w:pPr>
        <w:spacing w:line="480" w:lineRule="auto"/>
        <w:rPr>
          <w:rFonts w:asciiTheme="minorHAnsi" w:hAnsiTheme="minorHAnsi"/>
        </w:rPr>
      </w:pPr>
    </w:p>
    <w:p w14:paraId="667E9D5F" w14:textId="77777777" w:rsidR="0056761A" w:rsidRPr="00B85E01" w:rsidRDefault="0056761A" w:rsidP="00C70817">
      <w:pPr>
        <w:spacing w:line="480" w:lineRule="auto"/>
      </w:pPr>
      <w:r w:rsidRPr="0056761A">
        <w:rPr>
          <w:rFonts w:asciiTheme="minorHAnsi" w:hAnsiTheme="minorHAnsi"/>
          <w:b/>
        </w:rPr>
        <w:t>Discussion</w:t>
      </w:r>
      <w:r>
        <w:rPr>
          <w:rFonts w:asciiTheme="minorHAnsi" w:hAnsiTheme="minorHAnsi"/>
        </w:rPr>
        <w:t>:</w:t>
      </w:r>
      <w:r w:rsidR="004331A7" w:rsidRPr="004331A7">
        <w:rPr>
          <w:rFonts w:asciiTheme="minorHAnsi" w:hAnsiTheme="minorHAnsi"/>
        </w:rPr>
        <w:t xml:space="preserve"> </w:t>
      </w:r>
      <w:r w:rsidR="004331A7">
        <w:rPr>
          <w:rFonts w:asciiTheme="minorHAnsi" w:hAnsiTheme="minorHAnsi"/>
        </w:rPr>
        <w:t>K</w:t>
      </w:r>
      <w:r w:rsidR="004331A7" w:rsidRPr="00951992">
        <w:rPr>
          <w:rFonts w:asciiTheme="minorHAnsi" w:hAnsiTheme="minorHAnsi"/>
        </w:rPr>
        <w:t xml:space="preserve">nowledge of such medication-induced neurotoxicity is essential in critical or acute </w:t>
      </w:r>
      <w:r w:rsidR="004331A7">
        <w:rPr>
          <w:rFonts w:asciiTheme="minorHAnsi" w:hAnsiTheme="minorHAnsi"/>
        </w:rPr>
        <w:t xml:space="preserve">care </w:t>
      </w:r>
      <w:r w:rsidR="004331A7" w:rsidRPr="00951992">
        <w:rPr>
          <w:rFonts w:asciiTheme="minorHAnsi" w:hAnsiTheme="minorHAnsi"/>
        </w:rPr>
        <w:t xml:space="preserve">settings to ensure timely </w:t>
      </w:r>
      <w:r w:rsidR="004331A7">
        <w:rPr>
          <w:rFonts w:asciiTheme="minorHAnsi" w:hAnsiTheme="minorHAnsi"/>
        </w:rPr>
        <w:t>recognition and management</w:t>
      </w:r>
      <w:r w:rsidR="004331A7" w:rsidRPr="00951992">
        <w:rPr>
          <w:rFonts w:asciiTheme="minorHAnsi" w:hAnsiTheme="minorHAnsi"/>
        </w:rPr>
        <w:t>.</w:t>
      </w:r>
      <w:r w:rsidR="00B85E01">
        <w:rPr>
          <w:rFonts w:asciiTheme="minorHAnsi" w:hAnsiTheme="minorHAnsi"/>
        </w:rPr>
        <w:t xml:space="preserve"> Due to a lack of </w:t>
      </w:r>
      <w:r w:rsidR="004117E9">
        <w:rPr>
          <w:rFonts w:asciiTheme="minorHAnsi" w:hAnsiTheme="minorHAnsi"/>
        </w:rPr>
        <w:t xml:space="preserve">visible </w:t>
      </w:r>
      <w:r w:rsidR="004117E9">
        <w:rPr>
          <w:rFonts w:asciiTheme="minorHAnsi" w:hAnsiTheme="minorHAnsi"/>
        </w:rPr>
        <w:lastRenderedPageBreak/>
        <w:t>epileptic symptoms and varying presentation</w:t>
      </w:r>
      <w:r w:rsidR="00B85E01">
        <w:rPr>
          <w:rFonts w:asciiTheme="minorHAnsi" w:hAnsiTheme="minorHAnsi"/>
        </w:rPr>
        <w:t xml:space="preserve">, </w:t>
      </w:r>
      <w:proofErr w:type="spellStart"/>
      <w:r w:rsidR="00B85E01">
        <w:rPr>
          <w:rFonts w:asciiTheme="minorHAnsi" w:hAnsiTheme="minorHAnsi"/>
        </w:rPr>
        <w:t>nonconvulsive</w:t>
      </w:r>
      <w:proofErr w:type="spellEnd"/>
      <w:r w:rsidR="00B85E01">
        <w:rPr>
          <w:rFonts w:asciiTheme="minorHAnsi" w:hAnsiTheme="minorHAnsi"/>
        </w:rPr>
        <w:t xml:space="preserve"> status epilepticus </w:t>
      </w:r>
      <w:r w:rsidR="004331A7">
        <w:rPr>
          <w:rFonts w:asciiTheme="minorHAnsi" w:hAnsiTheme="minorHAnsi"/>
        </w:rPr>
        <w:t>is typically</w:t>
      </w:r>
      <w:r w:rsidR="004331A7" w:rsidRPr="00951992">
        <w:rPr>
          <w:rFonts w:asciiTheme="minorHAnsi" w:hAnsiTheme="minorHAnsi"/>
        </w:rPr>
        <w:t xml:space="preserve"> diagnosed </w:t>
      </w:r>
      <w:r w:rsidR="004331A7">
        <w:rPr>
          <w:rFonts w:asciiTheme="minorHAnsi" w:hAnsiTheme="minorHAnsi"/>
        </w:rPr>
        <w:t xml:space="preserve">only </w:t>
      </w:r>
      <w:r w:rsidR="004331A7" w:rsidRPr="00951992">
        <w:rPr>
          <w:rFonts w:asciiTheme="minorHAnsi" w:hAnsiTheme="minorHAnsi"/>
        </w:rPr>
        <w:t>after EEG monitoring, and may go unrecognized for some time.</w:t>
      </w:r>
      <w:r w:rsidR="004331A7">
        <w:rPr>
          <w:rFonts w:asciiTheme="minorHAnsi" w:hAnsiTheme="minorHAnsi"/>
        </w:rPr>
        <w:t xml:space="preserve"> The principal goal of treatment in </w:t>
      </w:r>
      <w:proofErr w:type="spellStart"/>
      <w:r w:rsidR="004331A7">
        <w:rPr>
          <w:rFonts w:asciiTheme="minorHAnsi" w:hAnsiTheme="minorHAnsi"/>
        </w:rPr>
        <w:t>cefepime</w:t>
      </w:r>
      <w:proofErr w:type="spellEnd"/>
      <w:r w:rsidR="004331A7">
        <w:rPr>
          <w:rFonts w:asciiTheme="minorHAnsi" w:hAnsiTheme="minorHAnsi"/>
        </w:rPr>
        <w:t xml:space="preserve"> toxicity is to clear the drug from the patient’s system and pre</w:t>
      </w:r>
      <w:r w:rsidR="00B85E01">
        <w:rPr>
          <w:rFonts w:asciiTheme="minorHAnsi" w:hAnsiTheme="minorHAnsi"/>
        </w:rPr>
        <w:t>vent continued seizure activity.</w:t>
      </w:r>
      <w:r w:rsidR="004117E9">
        <w:rPr>
          <w:rFonts w:asciiTheme="minorHAnsi" w:hAnsiTheme="minorHAnsi"/>
        </w:rPr>
        <w:t xml:space="preserve"> The high dialytic clearance of </w:t>
      </w:r>
      <w:proofErr w:type="spellStart"/>
      <w:r w:rsidR="004117E9">
        <w:rPr>
          <w:rFonts w:asciiTheme="minorHAnsi" w:hAnsiTheme="minorHAnsi"/>
        </w:rPr>
        <w:t>cefepime</w:t>
      </w:r>
      <w:proofErr w:type="spellEnd"/>
      <w:r w:rsidR="004117E9">
        <w:rPr>
          <w:rFonts w:asciiTheme="minorHAnsi" w:hAnsiTheme="minorHAnsi"/>
        </w:rPr>
        <w:t xml:space="preserve"> renders hemodialysis an efficient method to clear the drug out of the patient’s system, while conventional GABAergic anti-epileptic agents function to restore baseline neurophysiology.</w:t>
      </w:r>
    </w:p>
    <w:p w14:paraId="2268359B" w14:textId="77777777" w:rsidR="0056761A" w:rsidRDefault="0056761A" w:rsidP="00C70817">
      <w:pPr>
        <w:spacing w:line="480" w:lineRule="auto"/>
        <w:rPr>
          <w:rFonts w:asciiTheme="minorHAnsi" w:hAnsiTheme="minorHAnsi"/>
        </w:rPr>
      </w:pPr>
    </w:p>
    <w:p w14:paraId="12DD4AF6" w14:textId="77777777" w:rsidR="0056761A" w:rsidRDefault="0056761A" w:rsidP="00C70817">
      <w:pPr>
        <w:spacing w:line="480" w:lineRule="auto"/>
        <w:rPr>
          <w:rFonts w:asciiTheme="minorHAnsi" w:hAnsiTheme="minorHAnsi"/>
        </w:rPr>
      </w:pPr>
      <w:r w:rsidRPr="0056761A">
        <w:rPr>
          <w:rFonts w:asciiTheme="minorHAnsi" w:hAnsiTheme="minorHAnsi"/>
          <w:b/>
        </w:rPr>
        <w:t>Conclusion</w:t>
      </w:r>
      <w:r>
        <w:rPr>
          <w:rFonts w:asciiTheme="minorHAnsi" w:hAnsiTheme="minorHAnsi"/>
        </w:rPr>
        <w:t>:</w:t>
      </w:r>
      <w:r w:rsidR="00B85E01" w:rsidRPr="00B85E01">
        <w:rPr>
          <w:rFonts w:asciiTheme="minorHAnsi" w:hAnsiTheme="minorHAnsi"/>
        </w:rPr>
        <w:t xml:space="preserve"> </w:t>
      </w:r>
      <w:r w:rsidR="00B85E01">
        <w:rPr>
          <w:rFonts w:asciiTheme="minorHAnsi" w:hAnsiTheme="minorHAnsi"/>
        </w:rPr>
        <w:t xml:space="preserve">Hemodialysis remains the cornerstone of management for </w:t>
      </w:r>
      <w:proofErr w:type="spellStart"/>
      <w:r w:rsidR="00B85E01">
        <w:rPr>
          <w:rFonts w:asciiTheme="minorHAnsi" w:hAnsiTheme="minorHAnsi"/>
        </w:rPr>
        <w:t>nonconvulsive</w:t>
      </w:r>
      <w:proofErr w:type="spellEnd"/>
      <w:r w:rsidR="00B85E01">
        <w:rPr>
          <w:rFonts w:asciiTheme="minorHAnsi" w:hAnsiTheme="minorHAnsi"/>
        </w:rPr>
        <w:t xml:space="preserve"> status epilepticu</w:t>
      </w:r>
      <w:r w:rsidR="004117E9">
        <w:rPr>
          <w:rFonts w:asciiTheme="minorHAnsi" w:hAnsiTheme="minorHAnsi"/>
        </w:rPr>
        <w:t xml:space="preserve">s secondary to </w:t>
      </w:r>
      <w:proofErr w:type="spellStart"/>
      <w:r w:rsidR="004117E9">
        <w:rPr>
          <w:rFonts w:asciiTheme="minorHAnsi" w:hAnsiTheme="minorHAnsi"/>
        </w:rPr>
        <w:t>cefepime</w:t>
      </w:r>
      <w:proofErr w:type="spellEnd"/>
      <w:r w:rsidR="004117E9">
        <w:rPr>
          <w:rFonts w:asciiTheme="minorHAnsi" w:hAnsiTheme="minorHAnsi"/>
        </w:rPr>
        <w:t xml:space="preserve"> toxicity</w:t>
      </w:r>
      <w:r w:rsidR="00B85E01">
        <w:rPr>
          <w:rFonts w:asciiTheme="minorHAnsi" w:hAnsiTheme="minorHAnsi"/>
        </w:rPr>
        <w:t xml:space="preserve">. Here we report a case of </w:t>
      </w:r>
      <w:proofErr w:type="spellStart"/>
      <w:r w:rsidR="00B85E01">
        <w:rPr>
          <w:rFonts w:asciiTheme="minorHAnsi" w:hAnsiTheme="minorHAnsi"/>
        </w:rPr>
        <w:t>cefepime</w:t>
      </w:r>
      <w:proofErr w:type="spellEnd"/>
      <w:r w:rsidR="00B85E01">
        <w:rPr>
          <w:rFonts w:asciiTheme="minorHAnsi" w:hAnsiTheme="minorHAnsi"/>
        </w:rPr>
        <w:t xml:space="preserve">-induced </w:t>
      </w:r>
      <w:proofErr w:type="spellStart"/>
      <w:r w:rsidR="00B85E01">
        <w:rPr>
          <w:rFonts w:asciiTheme="minorHAnsi" w:hAnsiTheme="minorHAnsi"/>
        </w:rPr>
        <w:t>nonconvulsive</w:t>
      </w:r>
      <w:proofErr w:type="spellEnd"/>
      <w:r w:rsidR="00B85E01">
        <w:rPr>
          <w:rFonts w:asciiTheme="minorHAnsi" w:hAnsiTheme="minorHAnsi"/>
        </w:rPr>
        <w:t xml:space="preserve"> status epilepticus, which was successfully managed with hemodialysis that resulted in full recovery of neurological function.</w:t>
      </w:r>
    </w:p>
    <w:sectPr w:rsidR="0056761A" w:rsidSect="002415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61A"/>
    <w:rsid w:val="002034CB"/>
    <w:rsid w:val="0024152D"/>
    <w:rsid w:val="002E6029"/>
    <w:rsid w:val="004117E9"/>
    <w:rsid w:val="004331A7"/>
    <w:rsid w:val="004B7A56"/>
    <w:rsid w:val="0056761A"/>
    <w:rsid w:val="0057610A"/>
    <w:rsid w:val="00AD6318"/>
    <w:rsid w:val="00B85E01"/>
    <w:rsid w:val="00C70817"/>
    <w:rsid w:val="00DD3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6B34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 Froman</dc:creator>
  <cp:lastModifiedBy>Binnie</cp:lastModifiedBy>
  <cp:revision>2</cp:revision>
  <dcterms:created xsi:type="dcterms:W3CDTF">2017-08-24T12:29:00Z</dcterms:created>
  <dcterms:modified xsi:type="dcterms:W3CDTF">2017-08-24T12:29:00Z</dcterms:modified>
</cp:coreProperties>
</file>