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6BA" w:rsidRPr="006F3BB4" w:rsidRDefault="00EA36BA" w:rsidP="00EA36BA">
      <w:pPr>
        <w:spacing w:line="480" w:lineRule="auto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6F3BB4">
        <w:rPr>
          <w:rFonts w:ascii="Calibri" w:hAnsi="Calibri" w:cs="Calibri"/>
          <w:b/>
          <w:color w:val="000000"/>
        </w:rPr>
        <w:t>Title:</w:t>
      </w:r>
    </w:p>
    <w:p w:rsidR="00EA36BA" w:rsidRDefault="00EA36BA" w:rsidP="00EA36BA">
      <w:pPr>
        <w:spacing w:line="480" w:lineRule="auto"/>
        <w:rPr>
          <w:rFonts w:ascii="Calibri" w:hAnsi="Calibri" w:cs="Calibri"/>
          <w:b/>
          <w:color w:val="000000"/>
        </w:rPr>
      </w:pPr>
      <w:r w:rsidRPr="006F3BB4">
        <w:rPr>
          <w:rFonts w:ascii="Calibri" w:hAnsi="Calibri" w:cs="Calibri"/>
          <w:b/>
          <w:color w:val="000000"/>
        </w:rPr>
        <w:t xml:space="preserve">Determining the Optimal Screening Interval for Type 2 Diabetes Mellitus Using a Risk Prediction Model </w:t>
      </w:r>
    </w:p>
    <w:p w:rsidR="00EA36BA" w:rsidRPr="006F3BB4" w:rsidRDefault="00EA36BA" w:rsidP="00EA36BA">
      <w:pPr>
        <w:spacing w:line="480" w:lineRule="auto"/>
        <w:rPr>
          <w:rFonts w:ascii="Calibri" w:hAnsi="Calibri" w:cs="Calibri"/>
          <w:b/>
          <w:color w:val="000000"/>
        </w:rPr>
      </w:pPr>
    </w:p>
    <w:p w:rsidR="00EA36BA" w:rsidRPr="006F3BB4" w:rsidRDefault="00EA36BA" w:rsidP="00EA36BA">
      <w:pPr>
        <w:spacing w:line="480" w:lineRule="auto"/>
        <w:rPr>
          <w:rFonts w:ascii="Calibri" w:hAnsi="Calibri" w:cs="Calibri"/>
          <w:b/>
          <w:color w:val="000000"/>
        </w:rPr>
      </w:pPr>
      <w:r w:rsidRPr="006F3BB4">
        <w:rPr>
          <w:rFonts w:ascii="Calibri" w:hAnsi="Calibri" w:cs="Calibri"/>
          <w:b/>
          <w:color w:val="000000"/>
        </w:rPr>
        <w:t>Authors:</w:t>
      </w:r>
    </w:p>
    <w:p w:rsidR="00EA36BA" w:rsidRPr="006F3BB4" w:rsidRDefault="00EA36BA" w:rsidP="00EA36BA">
      <w:pPr>
        <w:spacing w:line="480" w:lineRule="auto"/>
        <w:rPr>
          <w:rFonts w:ascii="Calibri" w:hAnsi="Calibri" w:cs="Calibri"/>
          <w:color w:val="000000"/>
          <w:vertAlign w:val="superscript"/>
        </w:rPr>
      </w:pPr>
      <w:r w:rsidRPr="006F3BB4">
        <w:rPr>
          <w:rFonts w:ascii="Calibri" w:hAnsi="Calibri" w:cs="Calibri"/>
          <w:color w:val="000000"/>
        </w:rPr>
        <w:t xml:space="preserve">Andrei </w:t>
      </w:r>
      <w:proofErr w:type="spellStart"/>
      <w:r w:rsidRPr="006F3BB4">
        <w:rPr>
          <w:rFonts w:ascii="Calibri" w:hAnsi="Calibri" w:cs="Calibri"/>
          <w:color w:val="000000"/>
        </w:rPr>
        <w:t>Brateanu</w:t>
      </w:r>
      <w:proofErr w:type="spellEnd"/>
      <w:r w:rsidRPr="006F3BB4">
        <w:rPr>
          <w:rFonts w:ascii="Calibri" w:hAnsi="Calibri" w:cs="Calibri"/>
          <w:color w:val="000000"/>
        </w:rPr>
        <w:t>, MD</w:t>
      </w:r>
      <w:r w:rsidRPr="006F3BB4">
        <w:rPr>
          <w:rFonts w:ascii="Calibri" w:hAnsi="Calibri" w:cs="Calibri"/>
          <w:color w:val="000000"/>
          <w:vertAlign w:val="superscript"/>
        </w:rPr>
        <w:t>1</w:t>
      </w:r>
      <w:r w:rsidRPr="006F3BB4">
        <w:rPr>
          <w:rFonts w:ascii="Calibri" w:hAnsi="Calibri" w:cs="Calibri"/>
          <w:color w:val="000000"/>
        </w:rPr>
        <w:t xml:space="preserve">, Thomas </w:t>
      </w:r>
      <w:proofErr w:type="spellStart"/>
      <w:r w:rsidRPr="006F3BB4">
        <w:rPr>
          <w:rFonts w:ascii="Calibri" w:hAnsi="Calibri" w:cs="Calibri"/>
          <w:color w:val="000000"/>
        </w:rPr>
        <w:t>Barwacz</w:t>
      </w:r>
      <w:proofErr w:type="spellEnd"/>
      <w:r w:rsidRPr="006F3BB4">
        <w:rPr>
          <w:rFonts w:ascii="Calibri" w:hAnsi="Calibri" w:cs="Calibri"/>
          <w:color w:val="000000"/>
        </w:rPr>
        <w:t>, MD</w:t>
      </w:r>
      <w:r w:rsidRPr="006F3BB4">
        <w:rPr>
          <w:rFonts w:ascii="Calibri" w:hAnsi="Calibri" w:cs="Calibri"/>
          <w:color w:val="000000"/>
          <w:vertAlign w:val="superscript"/>
        </w:rPr>
        <w:t>2</w:t>
      </w:r>
      <w:r w:rsidRPr="006F3BB4">
        <w:rPr>
          <w:rFonts w:ascii="Calibri" w:hAnsi="Calibri" w:cs="Calibri"/>
          <w:color w:val="000000"/>
        </w:rPr>
        <w:t>, Lei Kou, MS</w:t>
      </w:r>
      <w:r w:rsidRPr="006F3BB4">
        <w:rPr>
          <w:rFonts w:ascii="Calibri" w:hAnsi="Calibri" w:cs="Calibri"/>
          <w:color w:val="000000"/>
          <w:vertAlign w:val="superscript"/>
        </w:rPr>
        <w:t>3</w:t>
      </w:r>
      <w:r w:rsidRPr="006F3BB4">
        <w:rPr>
          <w:rFonts w:ascii="Calibri" w:hAnsi="Calibri" w:cs="Calibri"/>
          <w:color w:val="000000"/>
        </w:rPr>
        <w:t>,</w:t>
      </w:r>
      <w:r w:rsidRPr="006F3BB4">
        <w:rPr>
          <w:rFonts w:ascii="Calibri" w:hAnsi="Calibri" w:cs="Calibri"/>
          <w:color w:val="000000"/>
          <w:vertAlign w:val="superscript"/>
        </w:rPr>
        <w:t xml:space="preserve"> </w:t>
      </w:r>
      <w:proofErr w:type="spellStart"/>
      <w:r w:rsidRPr="006F3BB4">
        <w:rPr>
          <w:rFonts w:ascii="Calibri" w:hAnsi="Calibri" w:cs="Calibri"/>
          <w:color w:val="000000"/>
        </w:rPr>
        <w:t>Sihe</w:t>
      </w:r>
      <w:proofErr w:type="spellEnd"/>
      <w:r w:rsidRPr="006F3BB4">
        <w:rPr>
          <w:rFonts w:ascii="Calibri" w:hAnsi="Calibri" w:cs="Calibri"/>
          <w:color w:val="000000"/>
        </w:rPr>
        <w:t xml:space="preserve"> Wang, PhD</w:t>
      </w:r>
      <w:r w:rsidRPr="006F3BB4">
        <w:rPr>
          <w:rFonts w:ascii="Calibri" w:hAnsi="Calibri" w:cs="Calibri"/>
          <w:color w:val="000000"/>
          <w:vertAlign w:val="superscript"/>
        </w:rPr>
        <w:t>4</w:t>
      </w:r>
      <w:r w:rsidRPr="006F3BB4">
        <w:rPr>
          <w:rFonts w:ascii="Calibri" w:hAnsi="Calibri" w:cs="Calibri"/>
          <w:color w:val="000000"/>
        </w:rPr>
        <w:t>, Anita D. Misra-Hebert, MD, MPH</w:t>
      </w:r>
      <w:r w:rsidRPr="006F3BB4">
        <w:rPr>
          <w:rFonts w:ascii="Calibri" w:hAnsi="Calibri" w:cs="Calibri"/>
          <w:color w:val="000000"/>
          <w:vertAlign w:val="superscript"/>
        </w:rPr>
        <w:t>1,3</w:t>
      </w:r>
      <w:r w:rsidRPr="006F3BB4">
        <w:rPr>
          <w:rFonts w:ascii="Calibri" w:hAnsi="Calibri" w:cs="Calibri"/>
          <w:color w:val="000000"/>
        </w:rPr>
        <w:t>, Hu Bo, PhD</w:t>
      </w:r>
      <w:r w:rsidRPr="006F3BB4">
        <w:rPr>
          <w:rFonts w:ascii="Calibri" w:hAnsi="Calibri" w:cs="Calibri"/>
          <w:color w:val="000000"/>
          <w:vertAlign w:val="superscript"/>
        </w:rPr>
        <w:t>3</w:t>
      </w:r>
      <w:r w:rsidRPr="006F3BB4">
        <w:rPr>
          <w:rFonts w:ascii="Calibri" w:hAnsi="Calibri" w:cs="Calibri"/>
          <w:color w:val="000000"/>
        </w:rPr>
        <w:t>, Abhishek Deshpande, MD, PhD</w:t>
      </w:r>
      <w:r w:rsidRPr="006F3BB4">
        <w:rPr>
          <w:rFonts w:ascii="Calibri" w:hAnsi="Calibri" w:cs="Calibri"/>
          <w:color w:val="000000"/>
          <w:vertAlign w:val="superscript"/>
        </w:rPr>
        <w:t>1</w:t>
      </w:r>
      <w:r w:rsidRPr="006F3BB4">
        <w:rPr>
          <w:rFonts w:ascii="Calibri" w:hAnsi="Calibri" w:cs="Calibri"/>
          <w:color w:val="000000"/>
        </w:rPr>
        <w:t xml:space="preserve">, Nana </w:t>
      </w:r>
      <w:proofErr w:type="spellStart"/>
      <w:r w:rsidRPr="006F3BB4">
        <w:rPr>
          <w:rFonts w:ascii="Calibri" w:hAnsi="Calibri" w:cs="Calibri"/>
          <w:color w:val="000000"/>
        </w:rPr>
        <w:t>Kobaivanova</w:t>
      </w:r>
      <w:proofErr w:type="spellEnd"/>
      <w:r w:rsidRPr="006F3BB4">
        <w:rPr>
          <w:rFonts w:ascii="Calibri" w:hAnsi="Calibri" w:cs="Calibri"/>
          <w:color w:val="000000"/>
        </w:rPr>
        <w:t>, MD</w:t>
      </w:r>
      <w:r w:rsidRPr="006F3BB4">
        <w:rPr>
          <w:rFonts w:ascii="Calibri" w:hAnsi="Calibri" w:cs="Calibri"/>
          <w:color w:val="000000"/>
          <w:vertAlign w:val="superscript"/>
        </w:rPr>
        <w:t>1</w:t>
      </w:r>
      <w:r w:rsidRPr="006F3BB4">
        <w:rPr>
          <w:rFonts w:ascii="Calibri" w:hAnsi="Calibri" w:cs="Calibri"/>
          <w:color w:val="000000"/>
        </w:rPr>
        <w:t>, Michael B. Rothberg, MD, MPH</w:t>
      </w:r>
      <w:r w:rsidRPr="006F3BB4">
        <w:rPr>
          <w:rFonts w:ascii="Calibri" w:hAnsi="Calibri" w:cs="Calibri"/>
          <w:color w:val="000000"/>
          <w:vertAlign w:val="superscript"/>
        </w:rPr>
        <w:t>1</w:t>
      </w:r>
      <w:r w:rsidRPr="006F3BB4">
        <w:rPr>
          <w:rFonts w:ascii="Calibri" w:hAnsi="Calibri" w:cs="Calibri"/>
          <w:color w:val="000000"/>
        </w:rPr>
        <w:t xml:space="preserve"> </w:t>
      </w:r>
    </w:p>
    <w:p w:rsidR="00EA36BA" w:rsidRDefault="00EA36BA" w:rsidP="00EA36BA">
      <w:pPr>
        <w:spacing w:line="480" w:lineRule="auto"/>
        <w:rPr>
          <w:rFonts w:ascii="Calibri" w:hAnsi="Calibri" w:cs="Calibri"/>
          <w:color w:val="000000"/>
        </w:rPr>
      </w:pPr>
    </w:p>
    <w:p w:rsidR="00206103" w:rsidRPr="00206103" w:rsidRDefault="00206103" w:rsidP="00EA36BA">
      <w:pPr>
        <w:spacing w:line="480" w:lineRule="auto"/>
        <w:rPr>
          <w:rFonts w:ascii="Calibri" w:hAnsi="Calibri" w:cs="Calibri"/>
          <w:b/>
          <w:color w:val="000000"/>
        </w:rPr>
      </w:pPr>
      <w:r w:rsidRPr="00206103">
        <w:rPr>
          <w:rFonts w:ascii="Calibri" w:hAnsi="Calibri" w:cs="Calibri"/>
          <w:b/>
          <w:color w:val="000000"/>
        </w:rPr>
        <w:t>Presenter:</w:t>
      </w:r>
    </w:p>
    <w:p w:rsidR="00206103" w:rsidRDefault="00206103" w:rsidP="00EA36BA">
      <w:pPr>
        <w:spacing w:line="480" w:lineRule="auto"/>
        <w:rPr>
          <w:rFonts w:ascii="Calibri" w:hAnsi="Calibri" w:cs="Calibri"/>
          <w:b/>
          <w:color w:val="000000"/>
          <w:vertAlign w:val="superscript"/>
        </w:rPr>
      </w:pPr>
      <w:r w:rsidRPr="00206103">
        <w:rPr>
          <w:rFonts w:ascii="Calibri" w:hAnsi="Calibri" w:cs="Calibri"/>
          <w:b/>
          <w:color w:val="000000"/>
        </w:rPr>
        <w:t>Abhishek Deshpande, MD, PhD</w:t>
      </w:r>
      <w:r w:rsidRPr="00206103">
        <w:rPr>
          <w:rFonts w:ascii="Calibri" w:hAnsi="Calibri" w:cs="Calibri"/>
          <w:b/>
          <w:color w:val="000000"/>
          <w:vertAlign w:val="superscript"/>
        </w:rPr>
        <w:t>1</w:t>
      </w:r>
    </w:p>
    <w:p w:rsidR="001038DB" w:rsidRPr="001038DB" w:rsidRDefault="001038DB" w:rsidP="00EA36BA">
      <w:pPr>
        <w:spacing w:line="480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E-mail:  DESHPAA2@ccf.org</w:t>
      </w:r>
    </w:p>
    <w:p w:rsidR="00206103" w:rsidRDefault="00206103" w:rsidP="00EA36BA">
      <w:pPr>
        <w:spacing w:line="480" w:lineRule="auto"/>
        <w:rPr>
          <w:rFonts w:ascii="Calibri" w:hAnsi="Calibri" w:cs="Calibri"/>
          <w:b/>
          <w:color w:val="000000"/>
        </w:rPr>
      </w:pPr>
    </w:p>
    <w:p w:rsidR="00EA36BA" w:rsidRPr="006F3BB4" w:rsidRDefault="00EA36BA" w:rsidP="00EA36BA">
      <w:pPr>
        <w:spacing w:line="480" w:lineRule="auto"/>
        <w:rPr>
          <w:rFonts w:ascii="Calibri" w:hAnsi="Calibri" w:cs="Calibri"/>
          <w:b/>
          <w:color w:val="000000"/>
        </w:rPr>
      </w:pPr>
      <w:r w:rsidRPr="006F3BB4">
        <w:rPr>
          <w:rFonts w:ascii="Calibri" w:hAnsi="Calibri" w:cs="Calibri"/>
          <w:b/>
          <w:color w:val="000000"/>
        </w:rPr>
        <w:t>Affiliations:</w:t>
      </w:r>
    </w:p>
    <w:p w:rsidR="00EA36BA" w:rsidRPr="006F3BB4" w:rsidRDefault="00EA36BA" w:rsidP="00EA36BA">
      <w:pPr>
        <w:spacing w:line="480" w:lineRule="auto"/>
        <w:rPr>
          <w:rFonts w:ascii="Calibri" w:hAnsi="Calibri" w:cs="Calibri"/>
          <w:color w:val="000000"/>
        </w:rPr>
      </w:pPr>
      <w:r w:rsidRPr="006F3BB4">
        <w:rPr>
          <w:rFonts w:ascii="Calibri" w:hAnsi="Calibri" w:cs="Calibri"/>
          <w:color w:val="000000"/>
        </w:rPr>
        <w:t xml:space="preserve">1-Medicine Institute, Cleveland Clinic, Cleveland OH </w:t>
      </w:r>
    </w:p>
    <w:p w:rsidR="00EA36BA" w:rsidRPr="006F3BB4" w:rsidRDefault="00EA36BA" w:rsidP="00EA36BA">
      <w:pPr>
        <w:spacing w:line="480" w:lineRule="auto"/>
        <w:rPr>
          <w:rFonts w:ascii="Calibri" w:hAnsi="Calibri" w:cs="Calibri"/>
          <w:color w:val="000000"/>
        </w:rPr>
      </w:pPr>
      <w:r w:rsidRPr="006F3BB4">
        <w:rPr>
          <w:rFonts w:ascii="Calibri" w:hAnsi="Calibri" w:cs="Calibri"/>
          <w:color w:val="000000"/>
        </w:rPr>
        <w:t>2-Department of Medicine, University Hospitals, Cleveland OH</w:t>
      </w:r>
    </w:p>
    <w:p w:rsidR="00EA36BA" w:rsidRPr="006F3BB4" w:rsidRDefault="00EA36BA" w:rsidP="00EA36BA">
      <w:pPr>
        <w:spacing w:line="480" w:lineRule="auto"/>
        <w:rPr>
          <w:rFonts w:ascii="Calibri" w:hAnsi="Calibri" w:cs="Calibri"/>
          <w:color w:val="000000"/>
        </w:rPr>
      </w:pPr>
      <w:r w:rsidRPr="006F3BB4">
        <w:rPr>
          <w:rFonts w:ascii="Calibri" w:hAnsi="Calibri" w:cs="Calibri"/>
          <w:color w:val="000000"/>
        </w:rPr>
        <w:t>3-Quantitative Health Sciences, Cleveland Clinic, Cleveland OH</w:t>
      </w:r>
    </w:p>
    <w:p w:rsidR="00EA36BA" w:rsidRPr="006F3BB4" w:rsidRDefault="00EA36BA" w:rsidP="00EA36BA">
      <w:pPr>
        <w:spacing w:line="480" w:lineRule="auto"/>
        <w:rPr>
          <w:rFonts w:ascii="Calibri" w:hAnsi="Calibri" w:cs="Calibri"/>
          <w:color w:val="000000"/>
        </w:rPr>
      </w:pPr>
      <w:r w:rsidRPr="006F3BB4">
        <w:rPr>
          <w:rFonts w:ascii="Calibri" w:hAnsi="Calibri" w:cs="Calibri"/>
          <w:color w:val="000000"/>
        </w:rPr>
        <w:t>4-Pathology and Laboratory Medicine Institute, Cleveland Clinic, Cleveland OH</w:t>
      </w:r>
    </w:p>
    <w:p w:rsidR="00EA36BA" w:rsidRPr="006F3BB4" w:rsidRDefault="00EA36BA" w:rsidP="00EA36BA">
      <w:pPr>
        <w:spacing w:line="480" w:lineRule="auto"/>
        <w:rPr>
          <w:rFonts w:ascii="Calibri" w:hAnsi="Calibri" w:cs="Calibri"/>
          <w:b/>
          <w:color w:val="000000"/>
        </w:rPr>
      </w:pPr>
    </w:p>
    <w:p w:rsidR="00EA36BA" w:rsidRPr="006F3BB4" w:rsidRDefault="00EA36BA" w:rsidP="00EA36BA">
      <w:pPr>
        <w:spacing w:line="480" w:lineRule="auto"/>
        <w:rPr>
          <w:rFonts w:ascii="Calibri" w:hAnsi="Calibri" w:cs="Arial"/>
          <w:b/>
          <w:color w:val="000000"/>
        </w:rPr>
      </w:pPr>
    </w:p>
    <w:p w:rsidR="00EA36BA" w:rsidRPr="006F3BB4" w:rsidRDefault="00EA36BA" w:rsidP="00EA36BA">
      <w:pPr>
        <w:spacing w:line="480" w:lineRule="auto"/>
        <w:rPr>
          <w:rFonts w:ascii="Calibri" w:hAnsi="Calibri" w:cs="Arial"/>
          <w:b/>
          <w:color w:val="000000"/>
        </w:rPr>
      </w:pPr>
    </w:p>
    <w:p w:rsidR="00EA36BA" w:rsidRPr="006F3BB4" w:rsidRDefault="00EA36BA" w:rsidP="00EA36BA">
      <w:pPr>
        <w:spacing w:line="480" w:lineRule="auto"/>
        <w:rPr>
          <w:rFonts w:ascii="Calibri" w:hAnsi="Calibri" w:cs="Arial"/>
          <w:b/>
          <w:color w:val="000000"/>
        </w:rPr>
      </w:pPr>
    </w:p>
    <w:p w:rsidR="00EA36BA" w:rsidRPr="006F3BB4" w:rsidRDefault="00EA36BA" w:rsidP="00EA36BA">
      <w:pPr>
        <w:spacing w:line="480" w:lineRule="auto"/>
        <w:rPr>
          <w:rFonts w:ascii="Calibri" w:hAnsi="Calibri" w:cs="Arial"/>
          <w:b/>
          <w:color w:val="000000"/>
        </w:rPr>
      </w:pPr>
    </w:p>
    <w:p w:rsidR="00EA36BA" w:rsidRPr="006F3BB4" w:rsidRDefault="00EA36BA" w:rsidP="00EA36BA">
      <w:pPr>
        <w:spacing w:line="480" w:lineRule="auto"/>
        <w:rPr>
          <w:rFonts w:ascii="Calibri" w:hAnsi="Calibri" w:cs="Arial"/>
          <w:b/>
          <w:color w:val="000000"/>
        </w:rPr>
      </w:pPr>
      <w:r w:rsidRPr="006F3BB4">
        <w:rPr>
          <w:rFonts w:ascii="Calibri" w:hAnsi="Calibri" w:cs="Arial"/>
          <w:b/>
          <w:color w:val="000000"/>
        </w:rPr>
        <w:br w:type="page"/>
      </w:r>
      <w:r w:rsidRPr="006F3BB4">
        <w:rPr>
          <w:rFonts w:ascii="Calibri" w:hAnsi="Calibri" w:cs="Arial"/>
          <w:b/>
          <w:color w:val="000000"/>
        </w:rPr>
        <w:lastRenderedPageBreak/>
        <w:t xml:space="preserve">Abstract </w:t>
      </w:r>
    </w:p>
    <w:p w:rsidR="00EA36BA" w:rsidRPr="006F3BB4" w:rsidRDefault="00EA36BA" w:rsidP="00EA36BA">
      <w:pPr>
        <w:spacing w:line="480" w:lineRule="auto"/>
        <w:rPr>
          <w:rFonts w:ascii="Calibri" w:hAnsi="Calibri" w:cs="Arial"/>
          <w:b/>
          <w:color w:val="000000"/>
        </w:rPr>
      </w:pPr>
      <w:r w:rsidRPr="006F3BB4">
        <w:rPr>
          <w:rFonts w:ascii="Calibri" w:hAnsi="Calibri" w:cs="Arial"/>
          <w:b/>
          <w:color w:val="000000"/>
        </w:rPr>
        <w:t>Background</w:t>
      </w:r>
    </w:p>
    <w:p w:rsidR="00EA36BA" w:rsidRPr="006F3BB4" w:rsidRDefault="00EA36BA" w:rsidP="00EA36BA">
      <w:pPr>
        <w:spacing w:line="480" w:lineRule="auto"/>
        <w:rPr>
          <w:rFonts w:ascii="Calibri" w:hAnsi="Calibri" w:cs="Arial"/>
          <w:color w:val="000000"/>
        </w:rPr>
      </w:pPr>
      <w:r w:rsidRPr="006F3BB4">
        <w:rPr>
          <w:rFonts w:ascii="Calibri" w:hAnsi="Calibri" w:cs="Arial"/>
          <w:color w:val="000000"/>
        </w:rPr>
        <w:t xml:space="preserve">Progression to diabetes mellitus (DM) is variable and the screening time interval not well defined. </w:t>
      </w:r>
    </w:p>
    <w:p w:rsidR="00FB38E7" w:rsidRPr="00FB38E7" w:rsidRDefault="00FB38E7" w:rsidP="00EA36BA">
      <w:pPr>
        <w:spacing w:line="480" w:lineRule="auto"/>
        <w:rPr>
          <w:rFonts w:ascii="Calibri" w:hAnsi="Calibri" w:cs="Arial"/>
          <w:b/>
          <w:color w:val="000000"/>
        </w:rPr>
      </w:pPr>
      <w:r w:rsidRPr="00FB38E7">
        <w:rPr>
          <w:rFonts w:ascii="Calibri" w:hAnsi="Calibri" w:cs="Arial"/>
          <w:b/>
          <w:color w:val="000000"/>
        </w:rPr>
        <w:t>Objective</w:t>
      </w:r>
    </w:p>
    <w:p w:rsidR="00EA36BA" w:rsidRPr="006F3BB4" w:rsidRDefault="00FB38E7" w:rsidP="00EA36BA">
      <w:pPr>
        <w:spacing w:line="480" w:lineRule="auto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T</w:t>
      </w:r>
      <w:r w:rsidR="00EA36BA" w:rsidRPr="006F3BB4">
        <w:rPr>
          <w:rFonts w:ascii="Calibri" w:hAnsi="Calibri" w:cs="Arial"/>
          <w:color w:val="000000"/>
        </w:rPr>
        <w:t>o develop a model to predict the probability of developing DM and suggest a risk-based screening interval.</w:t>
      </w:r>
    </w:p>
    <w:p w:rsidR="00EA36BA" w:rsidRPr="006F3BB4" w:rsidRDefault="00EA36BA" w:rsidP="00EA36BA">
      <w:pPr>
        <w:spacing w:line="480" w:lineRule="auto"/>
        <w:rPr>
          <w:rFonts w:ascii="Calibri" w:hAnsi="Calibri" w:cs="Arial"/>
          <w:b/>
          <w:color w:val="000000"/>
        </w:rPr>
      </w:pPr>
      <w:r w:rsidRPr="006F3BB4">
        <w:rPr>
          <w:rFonts w:ascii="Calibri" w:hAnsi="Calibri" w:cs="Arial"/>
          <w:b/>
          <w:color w:val="000000"/>
        </w:rPr>
        <w:t>Methods</w:t>
      </w:r>
    </w:p>
    <w:p w:rsidR="005F76DA" w:rsidRPr="005F76DA" w:rsidRDefault="005F76DA" w:rsidP="005F76DA">
      <w:pPr>
        <w:spacing w:line="480" w:lineRule="auto"/>
        <w:rPr>
          <w:rFonts w:ascii="Calibri" w:hAnsi="Calibri" w:cs="Arial"/>
          <w:color w:val="000000"/>
        </w:rPr>
      </w:pPr>
      <w:r w:rsidRPr="005F76DA">
        <w:rPr>
          <w:rFonts w:ascii="Calibri" w:hAnsi="Calibri" w:cs="Arial"/>
          <w:color w:val="000000"/>
        </w:rPr>
        <w:t>N</w:t>
      </w:r>
      <w:r w:rsidR="00EA36BA" w:rsidRPr="005F76DA">
        <w:rPr>
          <w:rFonts w:ascii="Calibri" w:hAnsi="Calibri" w:cs="Arial"/>
          <w:color w:val="000000"/>
        </w:rPr>
        <w:t>on-diabetic adult</w:t>
      </w:r>
      <w:r w:rsidRPr="005F76DA">
        <w:rPr>
          <w:rFonts w:ascii="Calibri" w:hAnsi="Calibri" w:cs="Arial"/>
          <w:color w:val="000000"/>
        </w:rPr>
        <w:t xml:space="preserve">s </w:t>
      </w:r>
      <w:r w:rsidR="00EA36BA" w:rsidRPr="005F76DA">
        <w:rPr>
          <w:rFonts w:ascii="Calibri" w:hAnsi="Calibri" w:cs="Arial"/>
          <w:color w:val="000000"/>
        </w:rPr>
        <w:t xml:space="preserve">screened for DM in the Cleveland Clinic Health System </w:t>
      </w:r>
      <w:r w:rsidRPr="005F76DA">
        <w:rPr>
          <w:rFonts w:ascii="Calibri" w:hAnsi="Calibri" w:cs="Arial"/>
          <w:color w:val="000000"/>
        </w:rPr>
        <w:t>with:</w:t>
      </w:r>
    </w:p>
    <w:p w:rsidR="005F76DA" w:rsidRDefault="005F76DA" w:rsidP="005F76DA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First glycated hemoglobin (HbA1c) &lt;</w:t>
      </w:r>
      <w:r w:rsidR="00EA36BA" w:rsidRPr="005F76DA">
        <w:rPr>
          <w:rFonts w:ascii="Calibri" w:hAnsi="Calibri" w:cs="Arial"/>
          <w:color w:val="000000"/>
        </w:rPr>
        <w:t xml:space="preserve"> 6.5% </w:t>
      </w:r>
      <w:r>
        <w:rPr>
          <w:rFonts w:ascii="Calibri" w:hAnsi="Calibri" w:cs="Arial"/>
          <w:color w:val="000000"/>
        </w:rPr>
        <w:t>measured in 2008.</w:t>
      </w:r>
    </w:p>
    <w:p w:rsidR="005F76DA" w:rsidRPr="005F76DA" w:rsidRDefault="005F76DA" w:rsidP="005F76DA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 w:cs="Arial"/>
          <w:color w:val="000000"/>
        </w:rPr>
      </w:pPr>
      <w:r w:rsidRPr="005F76DA">
        <w:rPr>
          <w:rFonts w:ascii="Calibri" w:hAnsi="Calibri" w:cs="Arial"/>
          <w:color w:val="000000"/>
        </w:rPr>
        <w:t>Subsequent HbA1c measured</w:t>
      </w:r>
      <w:r w:rsidR="00EA36BA" w:rsidRPr="005F76DA">
        <w:rPr>
          <w:rFonts w:ascii="Calibri" w:hAnsi="Calibri" w:cs="Arial"/>
          <w:color w:val="000000"/>
        </w:rPr>
        <w:t xml:space="preserve"> between January, 2009 and December, 2013. </w:t>
      </w:r>
    </w:p>
    <w:p w:rsidR="00EA36BA" w:rsidRPr="005F76DA" w:rsidRDefault="00EA36BA" w:rsidP="005F76DA">
      <w:pPr>
        <w:spacing w:line="480" w:lineRule="auto"/>
        <w:rPr>
          <w:rFonts w:ascii="Calibri" w:hAnsi="Calibri" w:cs="Arial"/>
          <w:color w:val="000000"/>
        </w:rPr>
      </w:pPr>
      <w:r w:rsidRPr="005F76DA">
        <w:rPr>
          <w:rFonts w:ascii="Calibri" w:hAnsi="Calibri" w:cs="Arial"/>
          <w:color w:val="000000"/>
        </w:rPr>
        <w:t xml:space="preserve">Cox proportional hazards models were created. </w:t>
      </w:r>
    </w:p>
    <w:p w:rsidR="00EA36BA" w:rsidRPr="006F3BB4" w:rsidRDefault="00EA36BA" w:rsidP="00EA36BA">
      <w:pPr>
        <w:spacing w:line="480" w:lineRule="auto"/>
        <w:rPr>
          <w:rFonts w:ascii="Calibri" w:hAnsi="Calibri" w:cs="Arial"/>
          <w:color w:val="000000"/>
        </w:rPr>
      </w:pPr>
      <w:r w:rsidRPr="006F3BB4">
        <w:rPr>
          <w:rFonts w:ascii="Calibri" w:hAnsi="Calibri" w:cs="Arial"/>
          <w:color w:val="000000"/>
        </w:rPr>
        <w:t>The primary outcome was DM defined as HbA1C</w:t>
      </w:r>
      <w:r w:rsidR="005F76DA">
        <w:rPr>
          <w:rFonts w:ascii="Calibri" w:hAnsi="Calibri" w:cs="Arial"/>
          <w:color w:val="000000"/>
        </w:rPr>
        <w:t xml:space="preserve"> greater than 6.4%</w:t>
      </w:r>
      <w:r w:rsidRPr="006F3BB4">
        <w:rPr>
          <w:rFonts w:ascii="Calibri" w:hAnsi="Calibri" w:cs="Arial"/>
          <w:color w:val="000000"/>
        </w:rPr>
        <w:t xml:space="preserve">. The optimal rescreening interval was chosen based on the predicted probability of developing DM. </w:t>
      </w:r>
    </w:p>
    <w:p w:rsidR="00EA36BA" w:rsidRPr="006F3BB4" w:rsidRDefault="00EA36BA" w:rsidP="00EA36BA">
      <w:pPr>
        <w:spacing w:line="480" w:lineRule="auto"/>
        <w:rPr>
          <w:rFonts w:ascii="Calibri" w:hAnsi="Calibri" w:cs="Arial"/>
          <w:b/>
          <w:color w:val="000000"/>
        </w:rPr>
      </w:pPr>
      <w:r w:rsidRPr="006F3BB4">
        <w:rPr>
          <w:rFonts w:ascii="Calibri" w:hAnsi="Calibri" w:cs="Arial"/>
          <w:b/>
          <w:color w:val="000000"/>
        </w:rPr>
        <w:t>Results</w:t>
      </w:r>
    </w:p>
    <w:p w:rsidR="00EA36BA" w:rsidRPr="006F3BB4" w:rsidRDefault="005F76DA" w:rsidP="00EA36BA">
      <w:pPr>
        <w:spacing w:line="480" w:lineRule="auto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Of 5084 participants, 4.4%</w:t>
      </w:r>
      <w:r w:rsidR="00EA36BA" w:rsidRPr="006F3BB4">
        <w:rPr>
          <w:rFonts w:ascii="Calibri" w:hAnsi="Calibri" w:cs="Arial"/>
          <w:color w:val="000000"/>
        </w:rPr>
        <w:t xml:space="preserve"> of the 2281 pati</w:t>
      </w:r>
      <w:r>
        <w:rPr>
          <w:rFonts w:ascii="Calibri" w:hAnsi="Calibri" w:cs="Arial"/>
          <w:color w:val="000000"/>
        </w:rPr>
        <w:t>ents with normal HbA1c and 27.5%</w:t>
      </w:r>
      <w:r w:rsidR="00EA36BA" w:rsidRPr="006F3BB4">
        <w:rPr>
          <w:rFonts w:ascii="Calibri" w:hAnsi="Calibri" w:cs="Arial"/>
          <w:color w:val="000000"/>
        </w:rPr>
        <w:t xml:space="preserve"> of the 2803 patients with prediabetes developed DM within 5 years. Factors associated with developing DM included HbA1c (HR per 0.1 units increase 1.20; 95%CI, 1.13 - 1.27), family history (HR 1.31; 95%CI, 1.13 - 1.51), smoking (HR 1.18; 95%CI, 1.03 - 1.35), triglycerides (HR 1.01; 95%CI, 1.00 - 1.03), alanine aminotransferase (HR 1.07; 95%CI, 1.03 - 1.11), body mass index (HR 1.06; 95%CI, 1.01 - 1.11), age (HR 0.95; 95%CI, 0.91 - 0.99) and high-density lipoproteins (HR 0.93; 95% CI, 0.90 - 0.95). Five percent of patients in the highest risk </w:t>
      </w:r>
      <w:proofErr w:type="spellStart"/>
      <w:r w:rsidR="00EA36BA" w:rsidRPr="006F3BB4">
        <w:rPr>
          <w:rFonts w:ascii="Calibri" w:hAnsi="Calibri" w:cs="Arial"/>
          <w:color w:val="000000"/>
        </w:rPr>
        <w:t>tertile</w:t>
      </w:r>
      <w:proofErr w:type="spellEnd"/>
      <w:r w:rsidR="00EA36BA" w:rsidRPr="006F3BB4">
        <w:rPr>
          <w:rFonts w:ascii="Calibri" w:hAnsi="Calibri" w:cs="Arial"/>
          <w:color w:val="000000"/>
        </w:rPr>
        <w:t xml:space="preserve"> developed DM within 8 months, </w:t>
      </w:r>
      <w:r w:rsidR="00EA36BA" w:rsidRPr="006F3BB4">
        <w:rPr>
          <w:rFonts w:ascii="Calibri" w:hAnsi="Calibri" w:cs="Arial"/>
          <w:color w:val="000000"/>
        </w:rPr>
        <w:lastRenderedPageBreak/>
        <w:t xml:space="preserve">while it took 35 months for 5% of the middle </w:t>
      </w:r>
      <w:proofErr w:type="spellStart"/>
      <w:r w:rsidR="00EA36BA" w:rsidRPr="006F3BB4">
        <w:rPr>
          <w:rFonts w:ascii="Calibri" w:hAnsi="Calibri" w:cs="Arial"/>
          <w:color w:val="000000"/>
        </w:rPr>
        <w:t>tertile</w:t>
      </w:r>
      <w:proofErr w:type="spellEnd"/>
      <w:r w:rsidR="00EA36BA" w:rsidRPr="006F3BB4">
        <w:rPr>
          <w:rFonts w:ascii="Calibri" w:hAnsi="Calibri" w:cs="Arial"/>
          <w:color w:val="000000"/>
        </w:rPr>
        <w:t xml:space="preserve"> to develop DM. Only 2.4% percent of the patients in the lowest </w:t>
      </w:r>
      <w:proofErr w:type="spellStart"/>
      <w:r w:rsidR="00EA36BA" w:rsidRPr="006F3BB4">
        <w:rPr>
          <w:rFonts w:ascii="Calibri" w:hAnsi="Calibri" w:cs="Arial"/>
          <w:color w:val="000000"/>
        </w:rPr>
        <w:t>tertile</w:t>
      </w:r>
      <w:proofErr w:type="spellEnd"/>
      <w:r w:rsidR="00EA36BA" w:rsidRPr="006F3BB4">
        <w:rPr>
          <w:rFonts w:ascii="Calibri" w:hAnsi="Calibri" w:cs="Arial"/>
          <w:color w:val="000000"/>
        </w:rPr>
        <w:t xml:space="preserve"> developed DM within 5 years. </w:t>
      </w:r>
    </w:p>
    <w:p w:rsidR="00EA36BA" w:rsidRPr="006F3BB4" w:rsidRDefault="00EA36BA" w:rsidP="00EA36BA">
      <w:pPr>
        <w:spacing w:line="480" w:lineRule="auto"/>
        <w:rPr>
          <w:rFonts w:ascii="Calibri" w:hAnsi="Calibri" w:cs="Arial"/>
          <w:b/>
          <w:color w:val="000000"/>
        </w:rPr>
      </w:pPr>
      <w:r w:rsidRPr="006F3BB4">
        <w:rPr>
          <w:rFonts w:ascii="Calibri" w:hAnsi="Calibri" w:cs="Arial"/>
          <w:b/>
          <w:color w:val="000000"/>
        </w:rPr>
        <w:t>Conclusion</w:t>
      </w:r>
    </w:p>
    <w:p w:rsidR="00EA36BA" w:rsidRPr="006F3BB4" w:rsidRDefault="00EA36BA" w:rsidP="00EA36BA">
      <w:pPr>
        <w:spacing w:line="480" w:lineRule="auto"/>
        <w:rPr>
          <w:rFonts w:ascii="Calibri" w:hAnsi="Calibri" w:cs="Arial"/>
          <w:bCs/>
          <w:color w:val="000000"/>
        </w:rPr>
      </w:pPr>
      <w:r w:rsidRPr="006F3BB4">
        <w:rPr>
          <w:rFonts w:ascii="Calibri" w:hAnsi="Calibri" w:cs="Arial"/>
          <w:bCs/>
          <w:color w:val="000000"/>
        </w:rPr>
        <w:t xml:space="preserve">A risk prediction model can be used to guide screening intervals. </w:t>
      </w:r>
      <w:r w:rsidR="00B86603">
        <w:rPr>
          <w:rFonts w:ascii="Calibri" w:hAnsi="Calibri" w:cs="Arial"/>
          <w:bCs/>
          <w:color w:val="000000"/>
        </w:rPr>
        <w:t>P</w:t>
      </w:r>
      <w:r w:rsidRPr="006F3BB4">
        <w:rPr>
          <w:rFonts w:ascii="Calibri" w:hAnsi="Calibri" w:cs="Arial"/>
          <w:color w:val="000000"/>
        </w:rPr>
        <w:t>atients in the highest risk category could be rescreened after 8 months, while those in the intermediate and lowest risk categories could be rescreened after 3 and 5 years</w:t>
      </w:r>
      <w:r w:rsidR="00B86603">
        <w:rPr>
          <w:rFonts w:ascii="Calibri" w:hAnsi="Calibri" w:cs="Arial"/>
          <w:color w:val="000000"/>
        </w:rPr>
        <w:t>,</w:t>
      </w:r>
      <w:r w:rsidRPr="006F3BB4">
        <w:rPr>
          <w:rFonts w:ascii="Calibri" w:hAnsi="Calibri" w:cs="Arial"/>
          <w:color w:val="000000"/>
        </w:rPr>
        <w:t xml:space="preserve"> respectively. </w:t>
      </w:r>
    </w:p>
    <w:p w:rsidR="007E5141" w:rsidRDefault="007E5141"/>
    <w:sectPr w:rsidR="007E5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429E6"/>
    <w:multiLevelType w:val="hybridMultilevel"/>
    <w:tmpl w:val="54524462"/>
    <w:lvl w:ilvl="0" w:tplc="F326A436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955C1"/>
    <w:multiLevelType w:val="hybridMultilevel"/>
    <w:tmpl w:val="223CD6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BA"/>
    <w:rsid w:val="000144B8"/>
    <w:rsid w:val="001038DB"/>
    <w:rsid w:val="00206103"/>
    <w:rsid w:val="005F76DA"/>
    <w:rsid w:val="007E5141"/>
    <w:rsid w:val="00B86603"/>
    <w:rsid w:val="00E61C47"/>
    <w:rsid w:val="00EA36BA"/>
    <w:rsid w:val="00FB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6BA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6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6BA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Brateanu, Andrei</dc:creator>
  <cp:lastModifiedBy>Binnie</cp:lastModifiedBy>
  <cp:revision>2</cp:revision>
  <dcterms:created xsi:type="dcterms:W3CDTF">2017-08-24T12:21:00Z</dcterms:created>
  <dcterms:modified xsi:type="dcterms:W3CDTF">2017-08-24T12:21:00Z</dcterms:modified>
</cp:coreProperties>
</file>