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53" w:rsidRDefault="00126453">
      <w:pPr>
        <w:widowControl/>
        <w:spacing w:after="200" w:line="275" w:lineRule="auto"/>
        <w:jc w:val="center"/>
        <w:rPr>
          <w:rFonts w:ascii="AR BERKLEY" w:hAnsi="AR BERKLEY" w:cs="AR BERKLEY"/>
          <w:sz w:val="40"/>
          <w:szCs w:val="40"/>
          <w:u w:val="single"/>
        </w:rPr>
      </w:pPr>
      <w:r>
        <w:rPr>
          <w:rFonts w:ascii="AR BERKLEY" w:hAnsi="AR BERKLEY" w:cs="AR BERKLEY"/>
          <w:sz w:val="40"/>
          <w:szCs w:val="40"/>
          <w:u w:val="single"/>
        </w:rPr>
        <w:t>A Special Thanks to our Sponsors</w:t>
      </w:r>
    </w:p>
    <w:p w:rsidR="00126453" w:rsidRDefault="00126453">
      <w:pPr>
        <w:widowControl/>
        <w:spacing w:after="200" w:line="275" w:lineRule="auto"/>
        <w:jc w:val="center"/>
        <w:rPr>
          <w:rFonts w:cstheme="minorBidi"/>
          <w:color w:val="auto"/>
          <w:kern w:val="0"/>
          <w:sz w:val="24"/>
          <w:szCs w:val="24"/>
        </w:rPr>
      </w:pPr>
    </w:p>
    <w:p w:rsidR="00126453" w:rsidRDefault="00126453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26453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Adi A. Gerblich, M.D.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Altercare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Atrium Medical Group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Avani Hospitality and Finance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Barney Advisory Group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Cardiovascular Consultants of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                         Cleveland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Center for Dialysis Care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Cleveland Clinic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Cleveland Kidney &amp; Hypertension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                        Consultants, Inc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Cool Touch, CTEV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Consultants in Gastroenterology, Inc.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Crandall, Jarzabek, Cox Group at                   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                        Robert  W. Baird &amp; Co.                   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Dave Walter, BMW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Dingus &amp; Daga, CPA, Inc.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Fatima Pozuelo, M.D.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First Merit Bank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Glenwood Systems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Golden Living Centers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Grace Hospital</w:t>
      </w:r>
    </w:p>
    <w:p w:rsidR="00126453" w:rsidRDefault="00126453">
      <w:pPr>
        <w:rPr>
          <w:rFonts w:ascii="Berlin Sans FB" w:hAnsi="Berlin Sans FB" w:cs="Berlin Sans FB"/>
          <w:sz w:val="28"/>
          <w:szCs w:val="28"/>
        </w:rPr>
      </w:pPr>
    </w:p>
    <w:p w:rsidR="00126453" w:rsidRDefault="00126453">
      <w:pPr>
        <w:rPr>
          <w:rFonts w:ascii="Berlin Sans FB" w:hAnsi="Berlin Sans FB" w:cs="Berlin Sans FB"/>
          <w:sz w:val="28"/>
          <w:szCs w:val="28"/>
        </w:rPr>
      </w:pPr>
    </w:p>
    <w:p w:rsidR="00126453" w:rsidRDefault="00126453">
      <w:pPr>
        <w:rPr>
          <w:rFonts w:cstheme="minorBidi"/>
          <w:color w:val="auto"/>
          <w:kern w:val="0"/>
          <w:sz w:val="24"/>
          <w:szCs w:val="24"/>
        </w:rPr>
      </w:pPr>
    </w:p>
    <w:p w:rsidR="00126453" w:rsidRDefault="00126453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2645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H. &amp; Shaila Sundaresh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HCR-ManorCare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Heather Hill Care Communities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Hillcrest Hospital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Key Private Bank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Kindred Health Care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Lake Health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Legacy Health Services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Mohan Durve, M.D.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Novacare Rehabilitation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PNC Wealth Management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Rao Family Foundation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Schneider, Smeltz, Ranney &amp; LaFond  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                                                    PLL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St. Vincent Charity Medical Center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Starkey Law Firm, LLC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Suma Achar, DDS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Trans-Pacific Trading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University Hospitals, Ahuja Medical 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 xml:space="preserve">                                                    Center</w:t>
      </w:r>
    </w:p>
    <w:p w:rsidR="00126453" w:rsidRDefault="00126453">
      <w:pPr>
        <w:rPr>
          <w:rFonts w:ascii="Berlin Sans FB" w:hAnsi="Berlin Sans FB" w:cs="Berlin Sans FB"/>
          <w:sz w:val="32"/>
          <w:szCs w:val="32"/>
        </w:rPr>
      </w:pPr>
      <w:r>
        <w:rPr>
          <w:rFonts w:ascii="Berlin Sans FB" w:hAnsi="Berlin Sans FB" w:cs="Berlin Sans FB"/>
          <w:sz w:val="32"/>
          <w:szCs w:val="32"/>
        </w:rPr>
        <w:t>Visiting Nurses Association</w:t>
      </w:r>
    </w:p>
    <w:p w:rsidR="00000000" w:rsidRDefault="00126453" w:rsidP="00126453">
      <w:r>
        <w:rPr>
          <w:rFonts w:ascii="Berlin Sans FB" w:hAnsi="Berlin Sans FB" w:cs="Berlin Sans FB"/>
          <w:sz w:val="32"/>
          <w:szCs w:val="32"/>
        </w:rPr>
        <w:t>Vitas Innovative Hospice Care</w:t>
      </w:r>
    </w:p>
    <w:sectPr w:rsidR="00000000" w:rsidSect="0012645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453"/>
    <w:rsid w:val="0012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