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76252" w14:textId="77777777" w:rsidR="003F3CA4" w:rsidRPr="00211F36" w:rsidRDefault="003F3CA4" w:rsidP="003F3CA4">
      <w:pPr>
        <w:jc w:val="center"/>
        <w:outlineLvl w:val="0"/>
        <w:rPr>
          <w:b/>
        </w:rPr>
      </w:pPr>
      <w:bookmarkStart w:id="0" w:name="_GoBack"/>
      <w:bookmarkEnd w:id="0"/>
      <w:r w:rsidRPr="00211F36">
        <w:rPr>
          <w:b/>
        </w:rPr>
        <w:t>Hemodialysis in Neonates and Infants: A Systematic Review</w:t>
      </w:r>
    </w:p>
    <w:p w14:paraId="4D03B682" w14:textId="77777777" w:rsidR="003F3CA4" w:rsidRDefault="003F3CA4" w:rsidP="00AC126A">
      <w:pPr>
        <w:jc w:val="both"/>
        <w:outlineLvl w:val="0"/>
        <w:rPr>
          <w:b/>
          <w:bCs/>
        </w:rPr>
      </w:pPr>
    </w:p>
    <w:p w14:paraId="227D8773" w14:textId="77777777" w:rsidR="00AC126A" w:rsidRPr="00570AD0" w:rsidRDefault="00AC126A" w:rsidP="00AC126A">
      <w:pPr>
        <w:jc w:val="both"/>
        <w:outlineLvl w:val="0"/>
        <w:rPr>
          <w:b/>
          <w:bCs/>
        </w:rPr>
      </w:pPr>
      <w:r w:rsidRPr="00570AD0">
        <w:rPr>
          <w:b/>
          <w:bCs/>
        </w:rPr>
        <w:t xml:space="preserve">Abstract: </w:t>
      </w:r>
    </w:p>
    <w:p w14:paraId="44C201AC" w14:textId="77777777" w:rsidR="00AC126A" w:rsidRPr="00570AD0" w:rsidRDefault="00AC126A" w:rsidP="00AC126A">
      <w:pPr>
        <w:jc w:val="both"/>
        <w:rPr>
          <w:b/>
          <w:bCs/>
        </w:rPr>
      </w:pPr>
    </w:p>
    <w:p w14:paraId="61C6F47B" w14:textId="77777777" w:rsidR="00AC126A" w:rsidRPr="00570AD0" w:rsidRDefault="00AC126A" w:rsidP="00AC126A">
      <w:pPr>
        <w:jc w:val="both"/>
      </w:pPr>
      <w:r w:rsidRPr="00570AD0">
        <w:rPr>
          <w:b/>
          <w:bCs/>
        </w:rPr>
        <w:t>Background:</w:t>
      </w:r>
      <w:r w:rsidRPr="00570AD0">
        <w:t xml:space="preserve"> Hemodialysis (HD) in neonates and infants is difficult to implement and to maintain due to a lack of machines adapted to neonatal blood flow volumes. Subsequent issues include hemodynamic instability, in addition to difficult vascular access due to smaller blood vessels. Therefore, peritoneal dialysis is initially preferred in neonates and infants. Currently there is a dearth of literature on an important form of renal replacement therapy (HD) in this population. The purpose of this study was to systematically review publications discussing HD in neonates and infants, and to point towards recent innovations in HD that may overcome traditional barriers. </w:t>
      </w:r>
    </w:p>
    <w:p w14:paraId="289DFA16" w14:textId="77777777" w:rsidR="00AC126A" w:rsidRPr="00570AD0" w:rsidRDefault="00AC126A" w:rsidP="00AC126A">
      <w:pPr>
        <w:jc w:val="both"/>
      </w:pPr>
      <w:r w:rsidRPr="00570AD0">
        <w:rPr>
          <w:b/>
          <w:bCs/>
        </w:rPr>
        <w:t>Methods:</w:t>
      </w:r>
      <w:r w:rsidRPr="00570AD0">
        <w:t xml:space="preserve"> PubMed was searched for “hemodialysis”, along with the Medical Subject Heading term, “infant”. 1,310 potential matches were returned, of which 9 studies met inclusion and exclusion criteria. Pooled descriptive statistics were calculated, weighted according to the number of subjects in each study. Data regarding patient characteristics, hemodialysis indications and parameters, and patient outcomes was recorded.</w:t>
      </w:r>
    </w:p>
    <w:p w14:paraId="13B6104D" w14:textId="13E42E29" w:rsidR="00F86956" w:rsidRPr="00203458" w:rsidRDefault="00AC126A" w:rsidP="00AC126A">
      <w:pPr>
        <w:jc w:val="both"/>
      </w:pPr>
      <w:r w:rsidRPr="00570AD0">
        <w:rPr>
          <w:b/>
          <w:bCs/>
        </w:rPr>
        <w:t>Results:</w:t>
      </w:r>
      <w:r w:rsidRPr="00570AD0">
        <w:t xml:space="preserve"> The total number of subjects across the nine selected studies was 104, with a pooled mean age of 3.1 months (range: 2 days to 12 months). </w:t>
      </w:r>
      <w:r w:rsidR="00203458">
        <w:t xml:space="preserve">Among all subjects there was a 62% survival rate. Common causes for hemodialysis treatment included inborn errors of metabolism, acute kidney injury, and renal </w:t>
      </w:r>
      <w:proofErr w:type="spellStart"/>
      <w:r w:rsidR="00203458">
        <w:t>dysplasias</w:t>
      </w:r>
      <w:proofErr w:type="spellEnd"/>
      <w:r w:rsidR="00203458">
        <w:t xml:space="preserve">. The most common complications were mechanical catheter dysfunction, hypotension, and anemia. </w:t>
      </w:r>
    </w:p>
    <w:p w14:paraId="5F350E4B" w14:textId="77777777" w:rsidR="00AC126A" w:rsidRPr="00570AD0" w:rsidRDefault="00AC126A" w:rsidP="00AC126A">
      <w:pPr>
        <w:jc w:val="both"/>
      </w:pPr>
      <w:r w:rsidRPr="00570AD0">
        <w:rPr>
          <w:b/>
          <w:bCs/>
        </w:rPr>
        <w:t>Discussion:</w:t>
      </w:r>
      <w:r w:rsidRPr="00570AD0">
        <w:t xml:space="preserve"> Indications for hemodialysis in reviewed studies were acute r</w:t>
      </w:r>
      <w:r w:rsidR="00457B68">
        <w:t xml:space="preserve">enal failure, primary intrinsic </w:t>
      </w:r>
      <w:proofErr w:type="spellStart"/>
      <w:r w:rsidRPr="00570AD0">
        <w:t>renovascular</w:t>
      </w:r>
      <w:proofErr w:type="spellEnd"/>
      <w:r w:rsidRPr="00570AD0">
        <w:t xml:space="preserve"> disorders, inborn errors of metabolism, and intoxications, of whi</w:t>
      </w:r>
      <w:r>
        <w:t xml:space="preserve">ch metabolic issues and acute renal failure were most frequent. </w:t>
      </w:r>
      <w:r w:rsidRPr="00570AD0">
        <w:t>Hemodialysis techniques were adapted to meet the needs of neonates and infants, notably including blood priming of extracorporeal circuits, minimizing extracorporeal circuit volumes, and use of smaller catheters.  This paper concludes with a discussion of those techniques that are best suited for neonates and infants.</w:t>
      </w:r>
    </w:p>
    <w:p w14:paraId="11723EEC" w14:textId="77777777" w:rsidR="00AC126A" w:rsidRPr="00570AD0" w:rsidRDefault="00AC126A" w:rsidP="00AC126A">
      <w:pPr>
        <w:jc w:val="both"/>
        <w:rPr>
          <w:b/>
        </w:rPr>
      </w:pPr>
    </w:p>
    <w:p w14:paraId="66E497E2" w14:textId="77777777" w:rsidR="00AC126A" w:rsidRPr="00570AD0" w:rsidRDefault="00AC126A" w:rsidP="00AC126A">
      <w:pPr>
        <w:jc w:val="both"/>
        <w:rPr>
          <w:b/>
          <w:color w:val="000000" w:themeColor="text1"/>
        </w:rPr>
      </w:pPr>
      <w:r w:rsidRPr="00570AD0">
        <w:rPr>
          <w:b/>
          <w:color w:val="000000" w:themeColor="text1"/>
        </w:rPr>
        <w:t xml:space="preserve">Key Words: </w:t>
      </w:r>
      <w:r w:rsidRPr="00FD57B1">
        <w:rPr>
          <w:color w:val="000000" w:themeColor="text1"/>
        </w:rPr>
        <w:t>hemodialysis; neonates; infants;</w:t>
      </w:r>
      <w:r w:rsidRPr="00570AD0">
        <w:rPr>
          <w:b/>
          <w:color w:val="000000" w:themeColor="text1"/>
        </w:rPr>
        <w:t xml:space="preserve"> </w:t>
      </w:r>
      <w:r w:rsidRPr="00570AD0">
        <w:rPr>
          <w:color w:val="000000" w:themeColor="text1"/>
        </w:rPr>
        <w:t>Renal replacement therapy; Renal transplantation; Survival</w:t>
      </w:r>
    </w:p>
    <w:p w14:paraId="6AA3A31F" w14:textId="77777777" w:rsidR="009561CF" w:rsidRDefault="003E3DEC"/>
    <w:tbl>
      <w:tblPr>
        <w:tblW w:w="115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20"/>
        <w:gridCol w:w="1620"/>
        <w:gridCol w:w="1500"/>
        <w:gridCol w:w="1620"/>
        <w:gridCol w:w="3520"/>
        <w:gridCol w:w="1640"/>
      </w:tblGrid>
      <w:tr w:rsidR="00203458" w:rsidRPr="00236185" w14:paraId="1659C2B7" w14:textId="77777777" w:rsidTr="00203458">
        <w:trPr>
          <w:trHeight w:val="320"/>
          <w:jc w:val="center"/>
        </w:trPr>
        <w:tc>
          <w:tcPr>
            <w:tcW w:w="1620" w:type="dxa"/>
            <w:shd w:val="clear" w:color="auto" w:fill="auto"/>
            <w:noWrap/>
            <w:vAlign w:val="bottom"/>
            <w:hideMark/>
          </w:tcPr>
          <w:p w14:paraId="6B66498D" w14:textId="77777777" w:rsidR="00203458" w:rsidRPr="00FF451C" w:rsidRDefault="00203458" w:rsidP="00645011">
            <w:pPr>
              <w:jc w:val="center"/>
              <w:rPr>
                <w:rFonts w:eastAsia="Times New Roman"/>
                <w:b/>
                <w:bCs/>
                <w:color w:val="000000"/>
              </w:rPr>
            </w:pPr>
            <w:r w:rsidRPr="00FF451C">
              <w:rPr>
                <w:rFonts w:eastAsia="Times New Roman"/>
                <w:b/>
                <w:bCs/>
                <w:color w:val="000000"/>
              </w:rPr>
              <w:t>Total Patients</w:t>
            </w:r>
          </w:p>
        </w:tc>
        <w:tc>
          <w:tcPr>
            <w:tcW w:w="1620" w:type="dxa"/>
            <w:shd w:val="clear" w:color="auto" w:fill="auto"/>
            <w:noWrap/>
            <w:vAlign w:val="bottom"/>
            <w:hideMark/>
          </w:tcPr>
          <w:p w14:paraId="4E20A214" w14:textId="77777777" w:rsidR="00203458" w:rsidRPr="00FF451C" w:rsidRDefault="00203458" w:rsidP="00645011">
            <w:pPr>
              <w:jc w:val="center"/>
              <w:rPr>
                <w:rFonts w:eastAsia="Times New Roman"/>
                <w:b/>
                <w:bCs/>
                <w:color w:val="000000"/>
              </w:rPr>
            </w:pPr>
            <w:r w:rsidRPr="00FF451C">
              <w:rPr>
                <w:rFonts w:eastAsia="Times New Roman"/>
                <w:b/>
                <w:bCs/>
                <w:color w:val="000000"/>
              </w:rPr>
              <w:t>Average Age</w:t>
            </w:r>
          </w:p>
        </w:tc>
        <w:tc>
          <w:tcPr>
            <w:tcW w:w="1500" w:type="dxa"/>
            <w:shd w:val="clear" w:color="auto" w:fill="auto"/>
            <w:noWrap/>
            <w:vAlign w:val="bottom"/>
            <w:hideMark/>
          </w:tcPr>
          <w:p w14:paraId="54F6BCD8" w14:textId="77777777" w:rsidR="00203458" w:rsidRPr="00FF451C" w:rsidRDefault="00203458" w:rsidP="00645011">
            <w:pPr>
              <w:jc w:val="center"/>
              <w:rPr>
                <w:rFonts w:eastAsia="Times New Roman"/>
                <w:b/>
                <w:bCs/>
                <w:color w:val="000000"/>
              </w:rPr>
            </w:pPr>
            <w:r w:rsidRPr="00FF451C">
              <w:rPr>
                <w:rFonts w:eastAsia="Times New Roman"/>
                <w:b/>
                <w:bCs/>
                <w:color w:val="000000"/>
              </w:rPr>
              <w:t>Survival Rate</w:t>
            </w:r>
          </w:p>
        </w:tc>
        <w:tc>
          <w:tcPr>
            <w:tcW w:w="1620" w:type="dxa"/>
            <w:shd w:val="clear" w:color="auto" w:fill="auto"/>
            <w:noWrap/>
            <w:vAlign w:val="bottom"/>
            <w:hideMark/>
          </w:tcPr>
          <w:p w14:paraId="18B793AC" w14:textId="77777777" w:rsidR="00203458" w:rsidRPr="00FF451C" w:rsidRDefault="00203458" w:rsidP="00645011">
            <w:pPr>
              <w:jc w:val="center"/>
              <w:rPr>
                <w:rFonts w:eastAsia="Times New Roman"/>
                <w:b/>
                <w:bCs/>
                <w:color w:val="000000"/>
              </w:rPr>
            </w:pPr>
            <w:r w:rsidRPr="00FF451C">
              <w:rPr>
                <w:rFonts w:eastAsia="Times New Roman"/>
                <w:b/>
                <w:bCs/>
                <w:color w:val="000000"/>
              </w:rPr>
              <w:t>Transplant Rate</w:t>
            </w:r>
          </w:p>
        </w:tc>
        <w:tc>
          <w:tcPr>
            <w:tcW w:w="3520" w:type="dxa"/>
            <w:shd w:val="clear" w:color="auto" w:fill="auto"/>
            <w:noWrap/>
            <w:vAlign w:val="bottom"/>
            <w:hideMark/>
          </w:tcPr>
          <w:p w14:paraId="55A8E1DC" w14:textId="77777777" w:rsidR="00203458" w:rsidRPr="00FF451C" w:rsidRDefault="00203458" w:rsidP="00645011">
            <w:pPr>
              <w:jc w:val="center"/>
              <w:rPr>
                <w:rFonts w:eastAsia="Times New Roman"/>
                <w:b/>
                <w:bCs/>
                <w:color w:val="000000"/>
              </w:rPr>
            </w:pPr>
            <w:r w:rsidRPr="00FF451C">
              <w:rPr>
                <w:rFonts w:eastAsia="Times New Roman"/>
                <w:b/>
                <w:bCs/>
                <w:color w:val="000000"/>
              </w:rPr>
              <w:t>Common Causes for HD</w:t>
            </w:r>
          </w:p>
        </w:tc>
        <w:tc>
          <w:tcPr>
            <w:tcW w:w="1640" w:type="dxa"/>
            <w:shd w:val="clear" w:color="auto" w:fill="auto"/>
            <w:noWrap/>
            <w:vAlign w:val="bottom"/>
            <w:hideMark/>
          </w:tcPr>
          <w:p w14:paraId="4AED8D7D" w14:textId="77777777" w:rsidR="00203458" w:rsidRPr="00FF451C" w:rsidRDefault="00203458" w:rsidP="00645011">
            <w:pPr>
              <w:rPr>
                <w:rFonts w:eastAsia="Times New Roman"/>
                <w:b/>
                <w:bCs/>
                <w:color w:val="000000"/>
              </w:rPr>
            </w:pPr>
            <w:r w:rsidRPr="00FF451C">
              <w:rPr>
                <w:rFonts w:eastAsia="Times New Roman"/>
                <w:b/>
                <w:bCs/>
                <w:color w:val="000000"/>
              </w:rPr>
              <w:t>Type of HD</w:t>
            </w:r>
          </w:p>
        </w:tc>
      </w:tr>
      <w:tr w:rsidR="00203458" w:rsidRPr="00236185" w14:paraId="1367BCAB" w14:textId="77777777" w:rsidTr="00203458">
        <w:trPr>
          <w:trHeight w:val="320"/>
          <w:jc w:val="center"/>
        </w:trPr>
        <w:tc>
          <w:tcPr>
            <w:tcW w:w="1620" w:type="dxa"/>
            <w:shd w:val="clear" w:color="auto" w:fill="auto"/>
            <w:noWrap/>
            <w:vAlign w:val="bottom"/>
            <w:hideMark/>
          </w:tcPr>
          <w:p w14:paraId="0C8F92D7" w14:textId="77777777" w:rsidR="00203458" w:rsidRPr="00FF451C" w:rsidRDefault="00203458" w:rsidP="00645011">
            <w:pPr>
              <w:jc w:val="center"/>
              <w:rPr>
                <w:rFonts w:eastAsia="Times New Roman"/>
                <w:color w:val="000000"/>
              </w:rPr>
            </w:pPr>
            <w:r w:rsidRPr="00FF451C">
              <w:rPr>
                <w:rFonts w:eastAsia="Times New Roman"/>
                <w:color w:val="000000"/>
              </w:rPr>
              <w:t>104</w:t>
            </w:r>
          </w:p>
        </w:tc>
        <w:tc>
          <w:tcPr>
            <w:tcW w:w="1620" w:type="dxa"/>
            <w:shd w:val="clear" w:color="auto" w:fill="auto"/>
            <w:noWrap/>
            <w:vAlign w:val="bottom"/>
            <w:hideMark/>
          </w:tcPr>
          <w:p w14:paraId="7B0109F5" w14:textId="77777777" w:rsidR="00203458" w:rsidRPr="00FF451C" w:rsidRDefault="00203458" w:rsidP="00645011">
            <w:pPr>
              <w:jc w:val="center"/>
              <w:rPr>
                <w:rFonts w:eastAsia="Times New Roman"/>
                <w:color w:val="000000"/>
              </w:rPr>
            </w:pPr>
            <w:r w:rsidRPr="00FF451C">
              <w:rPr>
                <w:rFonts w:eastAsia="Times New Roman"/>
                <w:color w:val="000000"/>
              </w:rPr>
              <w:t>3.1 months</w:t>
            </w:r>
          </w:p>
        </w:tc>
        <w:tc>
          <w:tcPr>
            <w:tcW w:w="1500" w:type="dxa"/>
            <w:shd w:val="clear" w:color="auto" w:fill="auto"/>
            <w:noWrap/>
            <w:vAlign w:val="bottom"/>
            <w:hideMark/>
          </w:tcPr>
          <w:p w14:paraId="71E8039F" w14:textId="77777777" w:rsidR="00203458" w:rsidRPr="00FF451C" w:rsidRDefault="00203458" w:rsidP="00645011">
            <w:pPr>
              <w:jc w:val="center"/>
              <w:rPr>
                <w:rFonts w:eastAsia="Times New Roman"/>
                <w:color w:val="000000"/>
              </w:rPr>
            </w:pPr>
            <w:r w:rsidRPr="00FF451C">
              <w:rPr>
                <w:rFonts w:eastAsia="Times New Roman"/>
                <w:color w:val="000000"/>
              </w:rPr>
              <w:t>62%</w:t>
            </w:r>
          </w:p>
        </w:tc>
        <w:tc>
          <w:tcPr>
            <w:tcW w:w="1620" w:type="dxa"/>
            <w:shd w:val="clear" w:color="auto" w:fill="auto"/>
            <w:noWrap/>
            <w:vAlign w:val="bottom"/>
            <w:hideMark/>
          </w:tcPr>
          <w:p w14:paraId="6CDFE245" w14:textId="77777777" w:rsidR="00203458" w:rsidRPr="00FF451C" w:rsidRDefault="00203458" w:rsidP="00645011">
            <w:pPr>
              <w:jc w:val="center"/>
              <w:rPr>
                <w:rFonts w:eastAsia="Times New Roman"/>
                <w:color w:val="000000"/>
              </w:rPr>
            </w:pPr>
            <w:r w:rsidRPr="00FF451C">
              <w:rPr>
                <w:rFonts w:eastAsia="Times New Roman"/>
                <w:color w:val="000000"/>
              </w:rPr>
              <w:t>33%</w:t>
            </w:r>
          </w:p>
        </w:tc>
        <w:tc>
          <w:tcPr>
            <w:tcW w:w="3520" w:type="dxa"/>
            <w:shd w:val="clear" w:color="auto" w:fill="auto"/>
            <w:noWrap/>
            <w:vAlign w:val="bottom"/>
            <w:hideMark/>
          </w:tcPr>
          <w:p w14:paraId="63F8667A" w14:textId="77777777" w:rsidR="00203458" w:rsidRPr="00FF451C" w:rsidRDefault="00203458" w:rsidP="00645011">
            <w:pPr>
              <w:rPr>
                <w:rFonts w:eastAsia="Times New Roman"/>
                <w:color w:val="000000"/>
              </w:rPr>
            </w:pPr>
            <w:r w:rsidRPr="00FF451C">
              <w:rPr>
                <w:rFonts w:eastAsia="Times New Roman"/>
                <w:color w:val="000000"/>
              </w:rPr>
              <w:t>Inborn Errors of Metabolism (42%)</w:t>
            </w:r>
          </w:p>
        </w:tc>
        <w:tc>
          <w:tcPr>
            <w:tcW w:w="1640" w:type="dxa"/>
            <w:shd w:val="clear" w:color="auto" w:fill="auto"/>
            <w:noWrap/>
            <w:vAlign w:val="bottom"/>
            <w:hideMark/>
          </w:tcPr>
          <w:p w14:paraId="4B804870" w14:textId="77777777" w:rsidR="00203458" w:rsidRPr="00FF451C" w:rsidRDefault="00203458" w:rsidP="00645011">
            <w:pPr>
              <w:rPr>
                <w:rFonts w:eastAsia="Times New Roman"/>
                <w:color w:val="000000"/>
              </w:rPr>
            </w:pPr>
            <w:r w:rsidRPr="00FF451C">
              <w:rPr>
                <w:rFonts w:eastAsia="Times New Roman"/>
                <w:color w:val="000000"/>
              </w:rPr>
              <w:t>Acute (36.5%)</w:t>
            </w:r>
          </w:p>
        </w:tc>
      </w:tr>
      <w:tr w:rsidR="00203458" w:rsidRPr="00236185" w14:paraId="1D1F7CB5" w14:textId="77777777" w:rsidTr="00203458">
        <w:trPr>
          <w:trHeight w:val="320"/>
          <w:jc w:val="center"/>
        </w:trPr>
        <w:tc>
          <w:tcPr>
            <w:tcW w:w="1620" w:type="dxa"/>
            <w:shd w:val="clear" w:color="auto" w:fill="auto"/>
            <w:noWrap/>
            <w:vAlign w:val="bottom"/>
            <w:hideMark/>
          </w:tcPr>
          <w:p w14:paraId="0DBDA6A5" w14:textId="77777777" w:rsidR="00203458" w:rsidRPr="00FF451C" w:rsidRDefault="00203458" w:rsidP="00645011">
            <w:pPr>
              <w:rPr>
                <w:rFonts w:eastAsia="Times New Roman"/>
                <w:color w:val="000000"/>
              </w:rPr>
            </w:pPr>
          </w:p>
        </w:tc>
        <w:tc>
          <w:tcPr>
            <w:tcW w:w="1620" w:type="dxa"/>
            <w:shd w:val="clear" w:color="auto" w:fill="auto"/>
            <w:noWrap/>
            <w:vAlign w:val="bottom"/>
            <w:hideMark/>
          </w:tcPr>
          <w:p w14:paraId="3FAEB619" w14:textId="77777777" w:rsidR="00203458" w:rsidRPr="00FF451C" w:rsidRDefault="00203458" w:rsidP="00645011">
            <w:pPr>
              <w:rPr>
                <w:rFonts w:eastAsia="Times New Roman"/>
                <w:sz w:val="20"/>
                <w:szCs w:val="20"/>
              </w:rPr>
            </w:pPr>
          </w:p>
        </w:tc>
        <w:tc>
          <w:tcPr>
            <w:tcW w:w="1500" w:type="dxa"/>
            <w:shd w:val="clear" w:color="auto" w:fill="auto"/>
            <w:noWrap/>
            <w:vAlign w:val="bottom"/>
            <w:hideMark/>
          </w:tcPr>
          <w:p w14:paraId="2C8CB2BA" w14:textId="77777777" w:rsidR="00203458" w:rsidRPr="00FF451C" w:rsidRDefault="00203458" w:rsidP="00645011">
            <w:pPr>
              <w:rPr>
                <w:rFonts w:eastAsia="Times New Roman"/>
                <w:sz w:val="20"/>
                <w:szCs w:val="20"/>
              </w:rPr>
            </w:pPr>
          </w:p>
        </w:tc>
        <w:tc>
          <w:tcPr>
            <w:tcW w:w="1620" w:type="dxa"/>
            <w:shd w:val="clear" w:color="auto" w:fill="auto"/>
            <w:noWrap/>
            <w:vAlign w:val="bottom"/>
            <w:hideMark/>
          </w:tcPr>
          <w:p w14:paraId="2CB154A6" w14:textId="77777777" w:rsidR="00203458" w:rsidRPr="00FF451C" w:rsidRDefault="00203458" w:rsidP="00645011">
            <w:pPr>
              <w:rPr>
                <w:rFonts w:eastAsia="Times New Roman"/>
                <w:sz w:val="20"/>
                <w:szCs w:val="20"/>
              </w:rPr>
            </w:pPr>
          </w:p>
        </w:tc>
        <w:tc>
          <w:tcPr>
            <w:tcW w:w="3520" w:type="dxa"/>
            <w:shd w:val="clear" w:color="auto" w:fill="auto"/>
            <w:noWrap/>
            <w:vAlign w:val="bottom"/>
            <w:hideMark/>
          </w:tcPr>
          <w:p w14:paraId="2A093E4C" w14:textId="77777777" w:rsidR="00203458" w:rsidRPr="00FF451C" w:rsidRDefault="00203458" w:rsidP="00645011">
            <w:pPr>
              <w:rPr>
                <w:rFonts w:eastAsia="Times New Roman"/>
                <w:color w:val="000000"/>
              </w:rPr>
            </w:pPr>
            <w:r w:rsidRPr="00FF451C">
              <w:rPr>
                <w:rFonts w:eastAsia="Times New Roman"/>
                <w:color w:val="000000"/>
              </w:rPr>
              <w:t>Acute Kidney Injury (32%)</w:t>
            </w:r>
          </w:p>
        </w:tc>
        <w:tc>
          <w:tcPr>
            <w:tcW w:w="1640" w:type="dxa"/>
            <w:shd w:val="clear" w:color="auto" w:fill="auto"/>
            <w:noWrap/>
            <w:vAlign w:val="bottom"/>
            <w:hideMark/>
          </w:tcPr>
          <w:p w14:paraId="3FA7A2DB" w14:textId="77777777" w:rsidR="00203458" w:rsidRPr="00FF451C" w:rsidRDefault="00203458" w:rsidP="00645011">
            <w:pPr>
              <w:rPr>
                <w:rFonts w:eastAsia="Times New Roman"/>
                <w:color w:val="000000"/>
              </w:rPr>
            </w:pPr>
            <w:r w:rsidRPr="00FF451C">
              <w:rPr>
                <w:rFonts w:eastAsia="Times New Roman"/>
                <w:color w:val="000000"/>
              </w:rPr>
              <w:t>Chronic (63.5%)</w:t>
            </w:r>
          </w:p>
        </w:tc>
      </w:tr>
      <w:tr w:rsidR="00203458" w:rsidRPr="00236185" w14:paraId="7D963DB1" w14:textId="77777777" w:rsidTr="00203458">
        <w:trPr>
          <w:trHeight w:val="320"/>
          <w:jc w:val="center"/>
        </w:trPr>
        <w:tc>
          <w:tcPr>
            <w:tcW w:w="1620" w:type="dxa"/>
            <w:shd w:val="clear" w:color="auto" w:fill="auto"/>
            <w:noWrap/>
            <w:vAlign w:val="bottom"/>
            <w:hideMark/>
          </w:tcPr>
          <w:p w14:paraId="5BFFFABA" w14:textId="77777777" w:rsidR="00203458" w:rsidRPr="00236185" w:rsidRDefault="00203458" w:rsidP="00645011">
            <w:pPr>
              <w:rPr>
                <w:rFonts w:ascii="Calibri" w:eastAsia="Times New Roman" w:hAnsi="Calibri"/>
                <w:color w:val="000000"/>
              </w:rPr>
            </w:pPr>
          </w:p>
        </w:tc>
        <w:tc>
          <w:tcPr>
            <w:tcW w:w="1620" w:type="dxa"/>
            <w:shd w:val="clear" w:color="auto" w:fill="auto"/>
            <w:noWrap/>
            <w:vAlign w:val="bottom"/>
            <w:hideMark/>
          </w:tcPr>
          <w:p w14:paraId="06429CA6" w14:textId="77777777" w:rsidR="00203458" w:rsidRPr="00236185" w:rsidRDefault="00203458" w:rsidP="00645011">
            <w:pPr>
              <w:rPr>
                <w:rFonts w:eastAsia="Times New Roman"/>
                <w:sz w:val="20"/>
                <w:szCs w:val="20"/>
              </w:rPr>
            </w:pPr>
          </w:p>
        </w:tc>
        <w:tc>
          <w:tcPr>
            <w:tcW w:w="1500" w:type="dxa"/>
            <w:shd w:val="clear" w:color="auto" w:fill="auto"/>
            <w:noWrap/>
            <w:vAlign w:val="bottom"/>
            <w:hideMark/>
          </w:tcPr>
          <w:p w14:paraId="44802F12" w14:textId="77777777" w:rsidR="00203458" w:rsidRPr="00236185" w:rsidRDefault="00203458" w:rsidP="00645011">
            <w:pPr>
              <w:rPr>
                <w:rFonts w:eastAsia="Times New Roman"/>
                <w:sz w:val="20"/>
                <w:szCs w:val="20"/>
              </w:rPr>
            </w:pPr>
          </w:p>
        </w:tc>
        <w:tc>
          <w:tcPr>
            <w:tcW w:w="1620" w:type="dxa"/>
            <w:shd w:val="clear" w:color="auto" w:fill="auto"/>
            <w:noWrap/>
            <w:vAlign w:val="bottom"/>
            <w:hideMark/>
          </w:tcPr>
          <w:p w14:paraId="049AAA2C" w14:textId="77777777" w:rsidR="00203458" w:rsidRPr="00236185" w:rsidRDefault="00203458" w:rsidP="00645011">
            <w:pPr>
              <w:rPr>
                <w:rFonts w:eastAsia="Times New Roman"/>
                <w:sz w:val="20"/>
                <w:szCs w:val="20"/>
              </w:rPr>
            </w:pPr>
          </w:p>
        </w:tc>
        <w:tc>
          <w:tcPr>
            <w:tcW w:w="3520" w:type="dxa"/>
            <w:shd w:val="clear" w:color="auto" w:fill="auto"/>
            <w:noWrap/>
            <w:vAlign w:val="bottom"/>
            <w:hideMark/>
          </w:tcPr>
          <w:p w14:paraId="3C7F0B4A" w14:textId="77777777" w:rsidR="00203458" w:rsidRPr="00236185" w:rsidRDefault="00203458" w:rsidP="00645011">
            <w:pPr>
              <w:rPr>
                <w:rFonts w:ascii="Calibri" w:eastAsia="Times New Roman" w:hAnsi="Calibri"/>
                <w:color w:val="000000"/>
              </w:rPr>
            </w:pPr>
            <w:r w:rsidRPr="00236185">
              <w:rPr>
                <w:rFonts w:ascii="Calibri" w:eastAsia="Times New Roman" w:hAnsi="Calibri"/>
                <w:color w:val="000000"/>
              </w:rPr>
              <w:t>Renal Dysplasia (17%)</w:t>
            </w:r>
          </w:p>
        </w:tc>
        <w:tc>
          <w:tcPr>
            <w:tcW w:w="1640" w:type="dxa"/>
            <w:shd w:val="clear" w:color="auto" w:fill="auto"/>
            <w:noWrap/>
            <w:vAlign w:val="bottom"/>
            <w:hideMark/>
          </w:tcPr>
          <w:p w14:paraId="70E0DD49" w14:textId="77777777" w:rsidR="00203458" w:rsidRPr="00236185" w:rsidRDefault="00203458" w:rsidP="00645011">
            <w:pPr>
              <w:rPr>
                <w:rFonts w:ascii="Calibri" w:eastAsia="Times New Roman" w:hAnsi="Calibri"/>
                <w:color w:val="000000"/>
              </w:rPr>
            </w:pPr>
          </w:p>
        </w:tc>
      </w:tr>
    </w:tbl>
    <w:p w14:paraId="4DE813E9" w14:textId="77777777" w:rsidR="00203458" w:rsidRDefault="00203458"/>
    <w:sectPr w:rsidR="00203458" w:rsidSect="00860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26A"/>
    <w:rsid w:val="000132E1"/>
    <w:rsid w:val="00203458"/>
    <w:rsid w:val="003E3DEC"/>
    <w:rsid w:val="003F3CA4"/>
    <w:rsid w:val="00457B68"/>
    <w:rsid w:val="004D2FA8"/>
    <w:rsid w:val="00710437"/>
    <w:rsid w:val="00860600"/>
    <w:rsid w:val="00AC126A"/>
    <w:rsid w:val="00F86956"/>
    <w:rsid w:val="00FF45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26A"/>
    <w:pPr>
      <w:suppressAutoHyphens/>
    </w:pPr>
    <w:rPr>
      <w:rFonts w:ascii="Times New Roman" w:eastAsia="Droid Sans Fallback" w:hAnsi="Times New Roman" w:cs="Times New Roman"/>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26A"/>
    <w:pPr>
      <w:suppressAutoHyphens/>
    </w:pPr>
    <w:rPr>
      <w:rFonts w:ascii="Times New Roman" w:eastAsia="Droid Sans Fallback" w:hAnsi="Times New Roman" w:cs="Times New Roman"/>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4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Binnie</cp:lastModifiedBy>
  <cp:revision>2</cp:revision>
  <cp:lastPrinted>2016-10-10T11:52:00Z</cp:lastPrinted>
  <dcterms:created xsi:type="dcterms:W3CDTF">2016-10-10T11:52:00Z</dcterms:created>
  <dcterms:modified xsi:type="dcterms:W3CDTF">2016-10-10T11:52:00Z</dcterms:modified>
</cp:coreProperties>
</file>