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DA" w:rsidRDefault="005634DA" w:rsidP="005634DA">
      <w:pPr>
        <w:pStyle w:val="NormalWeb"/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Theme="minorEastAsia" w:cstheme="minorBidi"/>
          <w:b/>
          <w:bCs/>
          <w:color w:val="000000" w:themeColor="text1"/>
          <w:kern w:val="24"/>
          <w:sz w:val="40"/>
          <w:szCs w:val="40"/>
          <w:u w:val="single"/>
        </w:rPr>
      </w:pPr>
      <w:bookmarkStart w:id="0" w:name="_GoBack"/>
      <w:bookmarkEnd w:id="0"/>
      <w:r w:rsidRPr="005634DA">
        <w:rPr>
          <w:rFonts w:eastAsiaTheme="minorEastAsia" w:cstheme="minorBidi"/>
          <w:b/>
          <w:bCs/>
          <w:color w:val="000000" w:themeColor="text1"/>
          <w:kern w:val="24"/>
          <w:sz w:val="40"/>
          <w:szCs w:val="40"/>
          <w:u w:val="single"/>
        </w:rPr>
        <w:t>Abstract</w:t>
      </w:r>
    </w:p>
    <w:p w:rsidR="005634DA" w:rsidRDefault="005634DA" w:rsidP="005634DA">
      <w:pPr>
        <w:pStyle w:val="NormalWeb"/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Theme="minorEastAsia" w:cstheme="minorBidi"/>
          <w:b/>
          <w:bCs/>
          <w:color w:val="000000" w:themeColor="text1"/>
          <w:kern w:val="24"/>
          <w:sz w:val="40"/>
          <w:szCs w:val="40"/>
          <w:u w:val="single"/>
        </w:rPr>
      </w:pPr>
    </w:p>
    <w:p w:rsidR="005634DA" w:rsidRPr="005634DA" w:rsidRDefault="005634DA" w:rsidP="005634DA">
      <w:pPr>
        <w:pStyle w:val="NormalWeb"/>
        <w:kinsoku w:val="0"/>
        <w:overflowPunct w:val="0"/>
        <w:spacing w:before="0" w:beforeAutospacing="0" w:after="0" w:afterAutospacing="0"/>
        <w:jc w:val="center"/>
        <w:textAlignment w:val="baseline"/>
        <w:rPr>
          <w:sz w:val="40"/>
          <w:szCs w:val="40"/>
          <w:u w:val="single"/>
        </w:rPr>
      </w:pPr>
    </w:p>
    <w:p w:rsidR="005634DA" w:rsidRDefault="005634DA" w:rsidP="005634DA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eastAsiaTheme="minorEastAsia" w:cstheme="minorBidi"/>
          <w:color w:val="000000" w:themeColor="text1"/>
          <w:kern w:val="24"/>
          <w:sz w:val="34"/>
          <w:szCs w:val="34"/>
        </w:rPr>
      </w:pPr>
      <w:r>
        <w:rPr>
          <w:rFonts w:eastAsiaTheme="minorEastAsia" w:cstheme="minorBidi"/>
          <w:b/>
          <w:bCs/>
          <w:color w:val="000000" w:themeColor="text1"/>
          <w:kern w:val="24"/>
          <w:sz w:val="34"/>
          <w:szCs w:val="34"/>
        </w:rPr>
        <w:t>Objective:</w:t>
      </w:r>
      <w:r>
        <w:rPr>
          <w:rFonts w:eastAsiaTheme="minorEastAsia" w:cstheme="minorBidi"/>
          <w:color w:val="000000" w:themeColor="text1"/>
          <w:kern w:val="24"/>
          <w:sz w:val="34"/>
          <w:szCs w:val="34"/>
        </w:rPr>
        <w:t xml:space="preserve"> To describe the incidence and risk factors for </w:t>
      </w:r>
      <w:r>
        <w:rPr>
          <w:rFonts w:eastAsiaTheme="minorEastAsia" w:cstheme="minorBidi"/>
          <w:i/>
          <w:iCs/>
          <w:color w:val="000000" w:themeColor="text1"/>
          <w:kern w:val="24"/>
          <w:sz w:val="34"/>
          <w:szCs w:val="34"/>
        </w:rPr>
        <w:t>Candida</w:t>
      </w:r>
      <w:r>
        <w:rPr>
          <w:rFonts w:eastAsiaTheme="minorEastAsia" w:cstheme="minorBidi"/>
          <w:color w:val="000000" w:themeColor="text1"/>
          <w:kern w:val="24"/>
          <w:sz w:val="34"/>
          <w:szCs w:val="34"/>
        </w:rPr>
        <w:t xml:space="preserve"> sepsis (CS) in very low birth weight (&lt;1500 g) premature infants and compare these factors with earlier data.</w:t>
      </w:r>
    </w:p>
    <w:p w:rsidR="005634DA" w:rsidRDefault="005634DA" w:rsidP="005634DA">
      <w:pPr>
        <w:pStyle w:val="NormalWeb"/>
        <w:kinsoku w:val="0"/>
        <w:overflowPunct w:val="0"/>
        <w:spacing w:before="0" w:beforeAutospacing="0" w:after="0" w:afterAutospacing="0"/>
        <w:textAlignment w:val="baseline"/>
      </w:pPr>
    </w:p>
    <w:p w:rsidR="005634DA" w:rsidRDefault="005634DA" w:rsidP="005634DA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eastAsiaTheme="minorEastAsia" w:cstheme="minorBidi"/>
          <w:color w:val="000000" w:themeColor="text1"/>
          <w:kern w:val="24"/>
          <w:sz w:val="34"/>
          <w:szCs w:val="34"/>
        </w:rPr>
      </w:pPr>
      <w:r>
        <w:rPr>
          <w:rFonts w:eastAsiaTheme="minorEastAsia" w:cstheme="minorBidi"/>
          <w:b/>
          <w:bCs/>
          <w:color w:val="000000" w:themeColor="text1"/>
          <w:kern w:val="24"/>
          <w:sz w:val="34"/>
          <w:szCs w:val="34"/>
        </w:rPr>
        <w:t>Design:</w:t>
      </w:r>
      <w:r>
        <w:rPr>
          <w:rFonts w:eastAsiaTheme="minorEastAsia" w:cstheme="minorBidi"/>
          <w:color w:val="000000" w:themeColor="text1"/>
          <w:kern w:val="24"/>
          <w:sz w:val="34"/>
          <w:szCs w:val="34"/>
        </w:rPr>
        <w:t xml:space="preserve"> This is a retrospective chart review case-control study of 94 infants with a BW &lt;1500 g admitted to the NICU (</w:t>
      </w:r>
      <w:proofErr w:type="spellStart"/>
      <w:r>
        <w:rPr>
          <w:rFonts w:eastAsiaTheme="minorEastAsia" w:cstheme="minorBidi"/>
          <w:color w:val="000000" w:themeColor="text1"/>
          <w:kern w:val="24"/>
          <w:sz w:val="34"/>
          <w:szCs w:val="34"/>
        </w:rPr>
        <w:t>MetroHealth</w:t>
      </w:r>
      <w:proofErr w:type="spellEnd"/>
      <w:r>
        <w:rPr>
          <w:rFonts w:eastAsiaTheme="minorEastAsia" w:cstheme="minorBidi"/>
          <w:color w:val="000000" w:themeColor="text1"/>
          <w:kern w:val="24"/>
          <w:sz w:val="34"/>
          <w:szCs w:val="34"/>
        </w:rPr>
        <w:t xml:space="preserve"> Medical Center, Cleveland, Ohio) between January 1, 2000 and December 31, 2015. Infant groups with (</w:t>
      </w:r>
      <w:r>
        <w:rPr>
          <w:rFonts w:eastAsiaTheme="minorEastAsia" w:cstheme="minorBidi"/>
          <w:i/>
          <w:iCs/>
          <w:color w:val="000000" w:themeColor="text1"/>
          <w:kern w:val="24"/>
          <w:sz w:val="34"/>
          <w:szCs w:val="34"/>
        </w:rPr>
        <w:t xml:space="preserve">n </w:t>
      </w:r>
      <w:r>
        <w:rPr>
          <w:rFonts w:eastAsiaTheme="minorEastAsia" w:cstheme="minorBidi"/>
          <w:color w:val="000000" w:themeColor="text1"/>
          <w:kern w:val="24"/>
          <w:sz w:val="34"/>
          <w:szCs w:val="34"/>
        </w:rPr>
        <w:t>= 47) and without (</w:t>
      </w:r>
      <w:r>
        <w:rPr>
          <w:rFonts w:eastAsiaTheme="minorEastAsia" w:cstheme="minorBidi"/>
          <w:i/>
          <w:iCs/>
          <w:color w:val="000000" w:themeColor="text1"/>
          <w:kern w:val="24"/>
          <w:sz w:val="34"/>
          <w:szCs w:val="34"/>
        </w:rPr>
        <w:t>n</w:t>
      </w:r>
      <w:r>
        <w:rPr>
          <w:rFonts w:eastAsiaTheme="minorEastAsia" w:cstheme="minorBidi"/>
          <w:color w:val="000000" w:themeColor="text1"/>
          <w:kern w:val="24"/>
          <w:sz w:val="34"/>
          <w:szCs w:val="34"/>
        </w:rPr>
        <w:t xml:space="preserve"> = 47) CS were compared. Forty seven infants with CS confirmed by positive blood culture were identified. Controls (n=47) without CS were matched using BW, gestational age, and date of birth.</w:t>
      </w:r>
    </w:p>
    <w:p w:rsidR="005634DA" w:rsidRDefault="005634DA" w:rsidP="005634DA">
      <w:pPr>
        <w:pStyle w:val="NormalWeb"/>
        <w:kinsoku w:val="0"/>
        <w:overflowPunct w:val="0"/>
        <w:spacing w:before="0" w:beforeAutospacing="0" w:after="0" w:afterAutospacing="0"/>
        <w:textAlignment w:val="baseline"/>
      </w:pPr>
    </w:p>
    <w:p w:rsidR="005634DA" w:rsidRDefault="005634DA" w:rsidP="005634DA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eastAsiaTheme="minorEastAsia" w:cstheme="minorBidi"/>
          <w:color w:val="000000" w:themeColor="text1"/>
          <w:kern w:val="24"/>
          <w:sz w:val="34"/>
          <w:szCs w:val="34"/>
        </w:rPr>
      </w:pPr>
      <w:r>
        <w:rPr>
          <w:rFonts w:eastAsiaTheme="minorEastAsia" w:cstheme="minorBidi"/>
          <w:b/>
          <w:bCs/>
          <w:color w:val="000000" w:themeColor="text1"/>
          <w:kern w:val="24"/>
          <w:sz w:val="34"/>
          <w:szCs w:val="34"/>
        </w:rPr>
        <w:t>Results:</w:t>
      </w:r>
      <w:r>
        <w:rPr>
          <w:rFonts w:eastAsiaTheme="minorEastAsia" w:cstheme="minorBidi"/>
          <w:color w:val="000000" w:themeColor="text1"/>
          <w:kern w:val="24"/>
          <w:sz w:val="34"/>
          <w:szCs w:val="34"/>
        </w:rPr>
        <w:t xml:space="preserve"> Of the 47 cases of CS identified, 31 (66%) occurred in infants with a birth weight &lt;750 g and 45 (96%) were in infants &lt;1250 g. The overall incidence of CS was 2.6% in infants &lt;1500 g. CS was diagnosed at a median age of 21 days. All 5 infants with CS who died weighed &lt;750 g at birth. </w:t>
      </w:r>
      <w:r>
        <w:rPr>
          <w:rFonts w:eastAsiaTheme="minorEastAsia" w:cstheme="minorBidi"/>
          <w:i/>
          <w:iCs/>
          <w:color w:val="000000" w:themeColor="text1"/>
          <w:kern w:val="24"/>
          <w:sz w:val="34"/>
          <w:szCs w:val="34"/>
        </w:rPr>
        <w:t xml:space="preserve">Candida </w:t>
      </w:r>
      <w:proofErr w:type="spellStart"/>
      <w:r>
        <w:rPr>
          <w:rFonts w:eastAsiaTheme="minorEastAsia" w:cstheme="minorBidi"/>
          <w:i/>
          <w:iCs/>
          <w:color w:val="000000" w:themeColor="text1"/>
          <w:kern w:val="24"/>
          <w:sz w:val="34"/>
          <w:szCs w:val="34"/>
        </w:rPr>
        <w:t>albicans</w:t>
      </w:r>
      <w:proofErr w:type="spellEnd"/>
      <w:r>
        <w:rPr>
          <w:rFonts w:eastAsiaTheme="minorEastAsia" w:cstheme="minorBidi"/>
          <w:color w:val="000000" w:themeColor="text1"/>
          <w:kern w:val="24"/>
          <w:sz w:val="34"/>
          <w:szCs w:val="34"/>
        </w:rPr>
        <w:t xml:space="preserve"> (</w:t>
      </w:r>
      <w:r>
        <w:rPr>
          <w:rFonts w:eastAsiaTheme="minorEastAsia" w:cstheme="minorBidi"/>
          <w:i/>
          <w:iCs/>
          <w:color w:val="000000" w:themeColor="text1"/>
          <w:kern w:val="24"/>
          <w:sz w:val="34"/>
          <w:szCs w:val="34"/>
        </w:rPr>
        <w:t>n</w:t>
      </w:r>
      <w:r>
        <w:rPr>
          <w:rFonts w:eastAsiaTheme="minorEastAsia" w:cstheme="minorBidi"/>
          <w:color w:val="000000" w:themeColor="text1"/>
          <w:kern w:val="24"/>
          <w:sz w:val="34"/>
          <w:szCs w:val="34"/>
        </w:rPr>
        <w:t xml:space="preserve"> = 24, 51%) and </w:t>
      </w:r>
      <w:r>
        <w:rPr>
          <w:rFonts w:eastAsiaTheme="minorEastAsia" w:cstheme="minorBidi"/>
          <w:i/>
          <w:iCs/>
          <w:color w:val="000000" w:themeColor="text1"/>
          <w:kern w:val="24"/>
          <w:sz w:val="34"/>
          <w:szCs w:val="34"/>
        </w:rPr>
        <w:t xml:space="preserve">Candida </w:t>
      </w:r>
      <w:proofErr w:type="spellStart"/>
      <w:r>
        <w:rPr>
          <w:rFonts w:eastAsiaTheme="minorEastAsia" w:cstheme="minorBidi"/>
          <w:i/>
          <w:iCs/>
          <w:color w:val="000000" w:themeColor="text1"/>
          <w:kern w:val="24"/>
          <w:sz w:val="34"/>
          <w:szCs w:val="34"/>
        </w:rPr>
        <w:t>parapsilosis</w:t>
      </w:r>
      <w:proofErr w:type="spellEnd"/>
      <w:r>
        <w:rPr>
          <w:rFonts w:eastAsiaTheme="minorEastAsia" w:cstheme="minorBidi"/>
          <w:color w:val="000000" w:themeColor="text1"/>
          <w:kern w:val="24"/>
          <w:sz w:val="34"/>
          <w:szCs w:val="34"/>
        </w:rPr>
        <w:t xml:space="preserve"> (</w:t>
      </w:r>
      <w:r>
        <w:rPr>
          <w:rFonts w:eastAsiaTheme="minorEastAsia" w:cstheme="minorBidi"/>
          <w:i/>
          <w:iCs/>
          <w:color w:val="000000" w:themeColor="text1"/>
          <w:kern w:val="24"/>
          <w:sz w:val="34"/>
          <w:szCs w:val="34"/>
        </w:rPr>
        <w:t>n</w:t>
      </w:r>
      <w:r>
        <w:rPr>
          <w:rFonts w:eastAsiaTheme="minorEastAsia" w:cstheme="minorBidi"/>
          <w:color w:val="000000" w:themeColor="text1"/>
          <w:kern w:val="24"/>
          <w:sz w:val="34"/>
          <w:szCs w:val="34"/>
        </w:rPr>
        <w:t xml:space="preserve"> = 21, 45%) accounted for most of the infections. Overall incidence of CS in &lt;1250 g babies was 3.5%, compared to 19% in same center historical cases (1996-1999)</w:t>
      </w:r>
      <w:r>
        <w:rPr>
          <w:rFonts w:eastAsiaTheme="minorEastAsia" w:cstheme="minorBidi"/>
          <w:color w:val="000000" w:themeColor="text1"/>
          <w:kern w:val="24"/>
          <w:position w:val="10"/>
          <w:sz w:val="34"/>
          <w:szCs w:val="34"/>
          <w:vertAlign w:val="superscript"/>
        </w:rPr>
        <w:t>1</w:t>
      </w:r>
      <w:r>
        <w:rPr>
          <w:rFonts w:eastAsiaTheme="minorEastAsia" w:cstheme="minorBidi"/>
          <w:color w:val="000000" w:themeColor="text1"/>
          <w:kern w:val="24"/>
          <w:sz w:val="34"/>
          <w:szCs w:val="34"/>
        </w:rPr>
        <w:t xml:space="preserve">. The incidence was lowest following 2010. Examined maternal and perinatal risk factors were not associated with CS. Postnatal </w:t>
      </w:r>
      <w:r>
        <w:rPr>
          <w:rFonts w:eastAsiaTheme="minorEastAsia" w:cstheme="minorBidi"/>
          <w:i/>
          <w:iCs/>
          <w:color w:val="000000" w:themeColor="text1"/>
          <w:kern w:val="24"/>
          <w:sz w:val="34"/>
          <w:szCs w:val="34"/>
        </w:rPr>
        <w:t>Candida</w:t>
      </w:r>
      <w:r>
        <w:rPr>
          <w:rFonts w:eastAsiaTheme="minorEastAsia" w:cstheme="minorBidi"/>
          <w:color w:val="000000" w:themeColor="text1"/>
          <w:kern w:val="24"/>
          <w:sz w:val="34"/>
          <w:szCs w:val="34"/>
        </w:rPr>
        <w:t xml:space="preserve"> colonization was associated with CS (</w:t>
      </w:r>
      <w:r>
        <w:rPr>
          <w:rFonts w:eastAsiaTheme="minorEastAsia" w:cstheme="minorBidi"/>
          <w:i/>
          <w:iCs/>
          <w:color w:val="000000" w:themeColor="text1"/>
          <w:kern w:val="24"/>
          <w:sz w:val="34"/>
          <w:szCs w:val="34"/>
        </w:rPr>
        <w:t>p</w:t>
      </w:r>
      <w:r>
        <w:rPr>
          <w:rFonts w:eastAsiaTheme="minorEastAsia" w:cstheme="minorBidi"/>
          <w:color w:val="000000" w:themeColor="text1"/>
          <w:kern w:val="24"/>
          <w:sz w:val="34"/>
          <w:szCs w:val="34"/>
        </w:rPr>
        <w:t xml:space="preserve"> = 0.00125). Examined risk factors were no different in infants with CS versus the controls. For unexplained reasons infants with CS versus controls had lower mortality. Mortality among cases (BW &lt;1250) fell from 30% to 11% when historical cases (1996-1999) were compared to current cases (2000-2015) (</w:t>
      </w:r>
      <w:r>
        <w:rPr>
          <w:rFonts w:eastAsiaTheme="minorEastAsia" w:cstheme="minorBidi"/>
          <w:i/>
          <w:iCs/>
          <w:color w:val="000000" w:themeColor="text1"/>
          <w:kern w:val="24"/>
          <w:sz w:val="34"/>
          <w:szCs w:val="34"/>
        </w:rPr>
        <w:t>p</w:t>
      </w:r>
      <w:r>
        <w:rPr>
          <w:rFonts w:eastAsiaTheme="minorEastAsia" w:cstheme="minorBidi"/>
          <w:color w:val="000000" w:themeColor="text1"/>
          <w:kern w:val="24"/>
          <w:sz w:val="34"/>
          <w:szCs w:val="34"/>
        </w:rPr>
        <w:t xml:space="preserve"> = 0.0183).</w:t>
      </w:r>
    </w:p>
    <w:p w:rsidR="005634DA" w:rsidRDefault="005634DA" w:rsidP="005634DA">
      <w:pPr>
        <w:pStyle w:val="NormalWeb"/>
        <w:kinsoku w:val="0"/>
        <w:overflowPunct w:val="0"/>
        <w:spacing w:before="0" w:beforeAutospacing="0" w:after="0" w:afterAutospacing="0"/>
        <w:textAlignment w:val="baseline"/>
      </w:pPr>
    </w:p>
    <w:p w:rsidR="005634DA" w:rsidRDefault="005634DA" w:rsidP="005634DA">
      <w:pPr>
        <w:pStyle w:val="NormalWeb"/>
        <w:kinsoku w:val="0"/>
        <w:overflowPunct w:val="0"/>
        <w:spacing w:before="0" w:beforeAutospacing="0" w:after="0" w:afterAutospacing="0"/>
        <w:textAlignment w:val="baseline"/>
      </w:pPr>
      <w:r>
        <w:rPr>
          <w:rFonts w:eastAsiaTheme="minorEastAsia" w:cstheme="minorBidi"/>
          <w:b/>
          <w:bCs/>
          <w:color w:val="000000" w:themeColor="text1"/>
          <w:kern w:val="24"/>
          <w:sz w:val="34"/>
          <w:szCs w:val="34"/>
        </w:rPr>
        <w:lastRenderedPageBreak/>
        <w:t>Conclusions:</w:t>
      </w:r>
      <w:r>
        <w:rPr>
          <w:rFonts w:eastAsiaTheme="minorEastAsia" w:cstheme="minorBidi"/>
          <w:color w:val="000000" w:themeColor="text1"/>
          <w:kern w:val="24"/>
          <w:sz w:val="34"/>
          <w:szCs w:val="34"/>
        </w:rPr>
        <w:t xml:space="preserve"> The incidence and mortality rate of </w:t>
      </w:r>
      <w:r>
        <w:rPr>
          <w:rFonts w:eastAsiaTheme="minorEastAsia" w:cstheme="minorBidi"/>
          <w:i/>
          <w:iCs/>
          <w:color w:val="000000" w:themeColor="text1"/>
          <w:kern w:val="24"/>
          <w:sz w:val="34"/>
          <w:szCs w:val="34"/>
        </w:rPr>
        <w:t>Candida</w:t>
      </w:r>
      <w:r>
        <w:rPr>
          <w:rFonts w:eastAsiaTheme="minorEastAsia" w:cstheme="minorBidi"/>
          <w:color w:val="000000" w:themeColor="text1"/>
          <w:kern w:val="24"/>
          <w:sz w:val="34"/>
          <w:szCs w:val="34"/>
        </w:rPr>
        <w:t xml:space="preserve"> sepsis in infants &lt;1500 g admitted to the MHMC NICU have decreased significantly from late the 1990s onwards with the lowest incidence noted since 2010.</w:t>
      </w:r>
    </w:p>
    <w:p w:rsidR="00467789" w:rsidRDefault="00C91149"/>
    <w:sectPr w:rsidR="00467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4DA"/>
    <w:rsid w:val="000E1ED3"/>
    <w:rsid w:val="005634DA"/>
    <w:rsid w:val="00B731FC"/>
    <w:rsid w:val="00BB10C3"/>
    <w:rsid w:val="00C91149"/>
    <w:rsid w:val="00EE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3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3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4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MetroHealth System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vgoyal</dc:creator>
  <cp:lastModifiedBy>Binnie</cp:lastModifiedBy>
  <cp:revision>2</cp:revision>
  <dcterms:created xsi:type="dcterms:W3CDTF">2016-10-14T13:29:00Z</dcterms:created>
  <dcterms:modified xsi:type="dcterms:W3CDTF">2016-10-14T13:29:00Z</dcterms:modified>
</cp:coreProperties>
</file>