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229" w:rsidRPr="00407D74" w:rsidRDefault="000E2229" w:rsidP="000E2229">
      <w:pPr>
        <w:pStyle w:val="Default"/>
        <w:rPr>
          <w:rFonts w:ascii="Times New Roman" w:hAnsi="Times New Roman" w:cs="Times New Roman"/>
        </w:rPr>
      </w:pPr>
      <w:bookmarkStart w:id="0" w:name="_GoBack"/>
      <w:bookmarkEnd w:id="0"/>
    </w:p>
    <w:p w:rsidR="000E2229" w:rsidRPr="00407D74" w:rsidRDefault="000E2229" w:rsidP="000E2229">
      <w:pPr>
        <w:pStyle w:val="Default"/>
        <w:rPr>
          <w:rFonts w:ascii="Times New Roman" w:hAnsi="Times New Roman" w:cs="Times New Roman"/>
          <w:sz w:val="28"/>
          <w:szCs w:val="28"/>
        </w:rPr>
      </w:pPr>
      <w:r w:rsidRPr="00407D74">
        <w:rPr>
          <w:rFonts w:ascii="Times New Roman" w:hAnsi="Times New Roman" w:cs="Times New Roman"/>
          <w:b/>
          <w:bCs/>
          <w:sz w:val="28"/>
          <w:szCs w:val="28"/>
        </w:rPr>
        <w:t>Postnatal Age at which</w:t>
      </w:r>
      <w:r w:rsidR="00407D74" w:rsidRPr="00407D74">
        <w:rPr>
          <w:rFonts w:ascii="Times New Roman" w:hAnsi="Times New Roman" w:cs="Times New Roman"/>
          <w:b/>
          <w:bCs/>
          <w:sz w:val="28"/>
          <w:szCs w:val="28"/>
        </w:rPr>
        <w:t xml:space="preserve"> </w:t>
      </w:r>
      <w:r w:rsidRPr="00407D74">
        <w:rPr>
          <w:rFonts w:ascii="Times New Roman" w:hAnsi="Times New Roman" w:cs="Times New Roman"/>
          <w:b/>
          <w:bCs/>
          <w:sz w:val="28"/>
          <w:szCs w:val="28"/>
        </w:rPr>
        <w:t xml:space="preserve">Neonatal Abstinence Syndrome (NAS) </w:t>
      </w:r>
      <w:r w:rsidR="00407D74" w:rsidRPr="00407D74">
        <w:rPr>
          <w:rFonts w:ascii="Times New Roman" w:hAnsi="Times New Roman" w:cs="Times New Roman"/>
          <w:b/>
          <w:bCs/>
          <w:sz w:val="28"/>
          <w:szCs w:val="28"/>
        </w:rPr>
        <w:t>Require Pharmacological Treatment</w:t>
      </w:r>
      <w:r w:rsidRPr="00407D74">
        <w:rPr>
          <w:rFonts w:ascii="Times New Roman" w:hAnsi="Times New Roman" w:cs="Times New Roman"/>
          <w:b/>
          <w:bCs/>
          <w:sz w:val="28"/>
          <w:szCs w:val="28"/>
        </w:rPr>
        <w:t xml:space="preserve"> in </w:t>
      </w:r>
      <w:r w:rsidR="00407D74" w:rsidRPr="00407D74">
        <w:rPr>
          <w:rFonts w:ascii="Times New Roman" w:hAnsi="Times New Roman" w:cs="Times New Roman"/>
          <w:b/>
          <w:bCs/>
          <w:sz w:val="28"/>
          <w:szCs w:val="28"/>
        </w:rPr>
        <w:t>Infants with</w:t>
      </w:r>
      <w:r w:rsidRPr="00407D74">
        <w:rPr>
          <w:rFonts w:ascii="Times New Roman" w:hAnsi="Times New Roman" w:cs="Times New Roman"/>
          <w:sz w:val="28"/>
          <w:szCs w:val="28"/>
        </w:rPr>
        <w:t xml:space="preserve"> </w:t>
      </w:r>
      <w:r w:rsidRPr="00407D74">
        <w:rPr>
          <w:rFonts w:ascii="Times New Roman" w:hAnsi="Times New Roman" w:cs="Times New Roman"/>
          <w:b/>
          <w:bCs/>
          <w:sz w:val="28"/>
          <w:szCs w:val="28"/>
        </w:rPr>
        <w:t>Intrauterine Exposure to Opiates</w:t>
      </w:r>
    </w:p>
    <w:p w:rsidR="000E2229" w:rsidRPr="00407D74" w:rsidRDefault="000E2229" w:rsidP="000E2229">
      <w:pPr>
        <w:pStyle w:val="Default"/>
        <w:rPr>
          <w:rFonts w:ascii="Times New Roman" w:hAnsi="Times New Roman" w:cs="Times New Roman"/>
        </w:rPr>
      </w:pPr>
      <w:r w:rsidRPr="00407D74">
        <w:rPr>
          <w:rFonts w:ascii="Times New Roman" w:hAnsi="Times New Roman" w:cs="Times New Roman"/>
        </w:rPr>
        <w:t xml:space="preserve">Samantha Smith; </w:t>
      </w:r>
      <w:proofErr w:type="spellStart"/>
      <w:r w:rsidRPr="00407D74">
        <w:rPr>
          <w:rFonts w:ascii="Times New Roman" w:hAnsi="Times New Roman" w:cs="Times New Roman"/>
        </w:rPr>
        <w:t>MugahidIbrahim</w:t>
      </w:r>
      <w:proofErr w:type="spellEnd"/>
      <w:r w:rsidRPr="00407D74">
        <w:rPr>
          <w:rFonts w:ascii="Times New Roman" w:hAnsi="Times New Roman" w:cs="Times New Roman"/>
        </w:rPr>
        <w:t xml:space="preserve"> M.D.; </w:t>
      </w:r>
      <w:proofErr w:type="spellStart"/>
      <w:r w:rsidRPr="00407D74">
        <w:rPr>
          <w:rFonts w:ascii="Times New Roman" w:hAnsi="Times New Roman" w:cs="Times New Roman"/>
        </w:rPr>
        <w:t>MansiNg</w:t>
      </w:r>
      <w:proofErr w:type="spellEnd"/>
      <w:r w:rsidRPr="00407D74">
        <w:rPr>
          <w:rFonts w:ascii="Times New Roman" w:hAnsi="Times New Roman" w:cs="Times New Roman"/>
        </w:rPr>
        <w:t>; Kelly Gibson M.D.; Deepak Kumar M.D.</w:t>
      </w:r>
    </w:p>
    <w:p w:rsidR="000E2229" w:rsidRPr="00407D74" w:rsidRDefault="000E2229" w:rsidP="000E2229">
      <w:pPr>
        <w:pStyle w:val="Default"/>
        <w:rPr>
          <w:rFonts w:ascii="Times New Roman" w:hAnsi="Times New Roman" w:cs="Times New Roman"/>
        </w:rPr>
      </w:pPr>
      <w:proofErr w:type="spellStart"/>
      <w:r w:rsidRPr="00407D74">
        <w:rPr>
          <w:rFonts w:ascii="Times New Roman" w:hAnsi="Times New Roman" w:cs="Times New Roman"/>
        </w:rPr>
        <w:t>MetroHealthMedical</w:t>
      </w:r>
      <w:proofErr w:type="spellEnd"/>
      <w:r w:rsidRPr="00407D74">
        <w:rPr>
          <w:rFonts w:ascii="Times New Roman" w:hAnsi="Times New Roman" w:cs="Times New Roman"/>
        </w:rPr>
        <w:t xml:space="preserve"> Center affiliated with Case Western Reserve University School of Medicine, Cleveland, Ohio</w:t>
      </w:r>
    </w:p>
    <w:p w:rsidR="000E2229" w:rsidRPr="00407D74" w:rsidRDefault="000E2229" w:rsidP="000E2229">
      <w:pPr>
        <w:pStyle w:val="Default"/>
        <w:rPr>
          <w:rFonts w:ascii="Times New Roman" w:hAnsi="Times New Roman" w:cs="Times New Roman"/>
          <w:sz w:val="28"/>
          <w:szCs w:val="28"/>
        </w:rPr>
      </w:pPr>
      <w:r w:rsidRPr="00407D74">
        <w:rPr>
          <w:rFonts w:ascii="Times New Roman" w:hAnsi="Times New Roman" w:cs="Times New Roman"/>
          <w:b/>
          <w:bCs/>
          <w:sz w:val="28"/>
          <w:szCs w:val="28"/>
        </w:rPr>
        <w:t>Abstract</w:t>
      </w:r>
    </w:p>
    <w:p w:rsidR="00F96C71" w:rsidRDefault="000E2229" w:rsidP="000E2229">
      <w:pPr>
        <w:pStyle w:val="Default"/>
        <w:rPr>
          <w:rFonts w:ascii="Times New Roman" w:hAnsi="Times New Roman" w:cs="Times New Roman"/>
          <w:sz w:val="34"/>
          <w:szCs w:val="34"/>
        </w:rPr>
      </w:pPr>
      <w:r w:rsidRPr="00407D74">
        <w:rPr>
          <w:rFonts w:ascii="Times New Roman" w:hAnsi="Times New Roman" w:cs="Times New Roman"/>
          <w:b/>
          <w:bCs/>
        </w:rPr>
        <w:t>Objective</w:t>
      </w:r>
      <w:r w:rsidRPr="00407D74">
        <w:rPr>
          <w:rFonts w:ascii="Times New Roman" w:hAnsi="Times New Roman" w:cs="Times New Roman"/>
          <w:sz w:val="34"/>
          <w:szCs w:val="34"/>
        </w:rPr>
        <w:t xml:space="preserve">: </w:t>
      </w:r>
    </w:p>
    <w:p w:rsidR="000E2229" w:rsidRPr="00407D74" w:rsidRDefault="000E2229" w:rsidP="000E2229">
      <w:pPr>
        <w:pStyle w:val="Default"/>
        <w:rPr>
          <w:rFonts w:ascii="Times New Roman" w:hAnsi="Times New Roman" w:cs="Times New Roman"/>
          <w:sz w:val="34"/>
          <w:szCs w:val="34"/>
        </w:rPr>
      </w:pPr>
      <w:r w:rsidRPr="00407D74">
        <w:rPr>
          <w:rFonts w:ascii="Times New Roman" w:hAnsi="Times New Roman" w:cs="Times New Roman"/>
          <w:sz w:val="20"/>
          <w:szCs w:val="20"/>
        </w:rPr>
        <w:t xml:space="preserve">To determine the hour of life at which NAS </w:t>
      </w:r>
      <w:r w:rsidR="00F96C71">
        <w:rPr>
          <w:rFonts w:ascii="Times New Roman" w:hAnsi="Times New Roman" w:cs="Times New Roman"/>
          <w:sz w:val="20"/>
          <w:szCs w:val="20"/>
        </w:rPr>
        <w:t>require pharmacological treatment</w:t>
      </w:r>
      <w:r w:rsidRPr="00407D74">
        <w:rPr>
          <w:rFonts w:ascii="Times New Roman" w:hAnsi="Times New Roman" w:cs="Times New Roman"/>
          <w:sz w:val="20"/>
          <w:szCs w:val="20"/>
        </w:rPr>
        <w:t xml:space="preserve"> and short-term outcomes in infants with intrauterine exposure to opiates</w:t>
      </w:r>
      <w:r w:rsidRPr="00407D74">
        <w:rPr>
          <w:rFonts w:ascii="Times New Roman" w:hAnsi="Times New Roman" w:cs="Times New Roman"/>
          <w:sz w:val="34"/>
          <w:szCs w:val="34"/>
        </w:rPr>
        <w:t>.</w:t>
      </w:r>
    </w:p>
    <w:p w:rsidR="00F96C71" w:rsidRDefault="000E2229" w:rsidP="000E2229">
      <w:pPr>
        <w:pStyle w:val="Default"/>
        <w:rPr>
          <w:rFonts w:ascii="Times New Roman" w:hAnsi="Times New Roman" w:cs="Times New Roman"/>
          <w:b/>
          <w:bCs/>
          <w:sz w:val="20"/>
          <w:szCs w:val="20"/>
        </w:rPr>
      </w:pPr>
      <w:r w:rsidRPr="00407D74">
        <w:rPr>
          <w:rFonts w:ascii="Times New Roman" w:hAnsi="Times New Roman" w:cs="Times New Roman"/>
          <w:b/>
          <w:bCs/>
        </w:rPr>
        <w:t>Study design</w:t>
      </w:r>
      <w:r w:rsidRPr="00407D74">
        <w:rPr>
          <w:rFonts w:ascii="Times New Roman" w:hAnsi="Times New Roman" w:cs="Times New Roman"/>
          <w:b/>
          <w:bCs/>
          <w:sz w:val="20"/>
          <w:szCs w:val="20"/>
        </w:rPr>
        <w:t>:</w:t>
      </w:r>
    </w:p>
    <w:p w:rsidR="000E2229" w:rsidRPr="00407D74" w:rsidRDefault="000E2229" w:rsidP="000E2229">
      <w:pPr>
        <w:pStyle w:val="Default"/>
        <w:rPr>
          <w:rFonts w:ascii="Times New Roman" w:hAnsi="Times New Roman" w:cs="Times New Roman"/>
          <w:sz w:val="20"/>
          <w:szCs w:val="20"/>
        </w:rPr>
      </w:pPr>
      <w:r w:rsidRPr="00407D74">
        <w:rPr>
          <w:rFonts w:ascii="Times New Roman" w:hAnsi="Times New Roman" w:cs="Times New Roman"/>
          <w:b/>
          <w:bCs/>
          <w:sz w:val="20"/>
          <w:szCs w:val="20"/>
        </w:rPr>
        <w:t xml:space="preserve"> </w:t>
      </w:r>
      <w:r w:rsidRPr="00407D74">
        <w:rPr>
          <w:rFonts w:ascii="Times New Roman" w:hAnsi="Times New Roman" w:cs="Times New Roman"/>
          <w:sz w:val="20"/>
          <w:szCs w:val="20"/>
        </w:rPr>
        <w:t xml:space="preserve">Medical records of all mothers and infants from the Mother and Child Dependency Program from July 2015 to June 2016 were reviewed. Clinical characteristics of mothers and their newborn infants with opiate exposure were abstracted to determine the hour of life at which NAS develops and short and long term morbidities. </w:t>
      </w:r>
    </w:p>
    <w:p w:rsidR="00F96C71" w:rsidRDefault="000E2229" w:rsidP="000E2229">
      <w:pPr>
        <w:pStyle w:val="Default"/>
        <w:rPr>
          <w:rFonts w:ascii="Times New Roman" w:hAnsi="Times New Roman" w:cs="Times New Roman"/>
          <w:b/>
          <w:bCs/>
          <w:sz w:val="34"/>
          <w:szCs w:val="34"/>
        </w:rPr>
      </w:pPr>
      <w:r w:rsidRPr="00407D74">
        <w:rPr>
          <w:rFonts w:ascii="Times New Roman" w:hAnsi="Times New Roman" w:cs="Times New Roman"/>
          <w:b/>
          <w:bCs/>
          <w:sz w:val="34"/>
          <w:szCs w:val="34"/>
        </w:rPr>
        <w:t xml:space="preserve">Results: </w:t>
      </w:r>
    </w:p>
    <w:p w:rsidR="000E2229" w:rsidRPr="00407D74" w:rsidRDefault="000E2229" w:rsidP="000E2229">
      <w:pPr>
        <w:pStyle w:val="Default"/>
        <w:rPr>
          <w:rFonts w:ascii="Times New Roman" w:eastAsia="MS PGothic" w:hAnsi="Times New Roman" w:cs="Times New Roman"/>
          <w:sz w:val="34"/>
          <w:szCs w:val="34"/>
        </w:rPr>
      </w:pPr>
      <w:r w:rsidRPr="00407D74">
        <w:rPr>
          <w:rFonts w:ascii="Times New Roman" w:hAnsi="Times New Roman" w:cs="Times New Roman"/>
          <w:sz w:val="20"/>
          <w:szCs w:val="20"/>
        </w:rPr>
        <w:t xml:space="preserve">Between July 1, 2015 and June 30, 2016, </w:t>
      </w:r>
      <w:r w:rsidRPr="00F96C71">
        <w:rPr>
          <w:rFonts w:ascii="Times New Roman" w:hAnsi="Times New Roman" w:cs="Times New Roman"/>
          <w:sz w:val="20"/>
          <w:szCs w:val="20"/>
          <w:highlight w:val="yellow"/>
        </w:rPr>
        <w:t>124</w:t>
      </w:r>
      <w:r w:rsidRPr="00407D74">
        <w:rPr>
          <w:rFonts w:ascii="Times New Roman" w:hAnsi="Times New Roman" w:cs="Times New Roman"/>
          <w:sz w:val="20"/>
          <w:szCs w:val="20"/>
        </w:rPr>
        <w:t xml:space="preserve"> infants were identified with intrauterine exposure to opiates</w:t>
      </w:r>
      <w:r w:rsidRPr="00F96C71">
        <w:rPr>
          <w:rFonts w:ascii="Times New Roman" w:hAnsi="Times New Roman" w:cs="Times New Roman"/>
          <w:sz w:val="20"/>
          <w:szCs w:val="20"/>
          <w:highlight w:val="yellow"/>
        </w:rPr>
        <w:t>. 82 out of the 124</w:t>
      </w:r>
      <w:r w:rsidRPr="00407D74">
        <w:rPr>
          <w:rFonts w:ascii="Times New Roman" w:hAnsi="Times New Roman" w:cs="Times New Roman"/>
          <w:sz w:val="20"/>
          <w:szCs w:val="20"/>
        </w:rPr>
        <w:t xml:space="preserve"> infants (66%) received pharmacological treatment</w:t>
      </w:r>
      <w:r w:rsidR="00F96C71">
        <w:rPr>
          <w:rFonts w:ascii="Times New Roman" w:hAnsi="Times New Roman" w:cs="Times New Roman"/>
          <w:sz w:val="20"/>
          <w:szCs w:val="20"/>
        </w:rPr>
        <w:t>, which was started</w:t>
      </w:r>
      <w:r w:rsidRPr="00407D74">
        <w:rPr>
          <w:rFonts w:ascii="Times New Roman" w:hAnsi="Times New Roman" w:cs="Times New Roman"/>
          <w:sz w:val="20"/>
          <w:szCs w:val="20"/>
        </w:rPr>
        <w:t xml:space="preserve"> on average at two days of life. Two infants </w:t>
      </w:r>
      <w:r w:rsidR="005B758B">
        <w:rPr>
          <w:rFonts w:ascii="Times New Roman" w:hAnsi="Times New Roman" w:cs="Times New Roman"/>
          <w:sz w:val="20"/>
          <w:szCs w:val="20"/>
        </w:rPr>
        <w:t>required treatment</w:t>
      </w:r>
      <w:r w:rsidRPr="00407D74">
        <w:rPr>
          <w:rFonts w:ascii="Times New Roman" w:hAnsi="Times New Roman" w:cs="Times New Roman"/>
          <w:sz w:val="20"/>
          <w:szCs w:val="20"/>
        </w:rPr>
        <w:t xml:space="preserve"> beyond 7 days of life. The average length of stay was higher in the pharmacological treatment group (26.4 </w:t>
      </w:r>
      <w:r w:rsidRPr="00407D74">
        <w:rPr>
          <w:rFonts w:ascii="Times New Roman" w:eastAsia="MS PGothic" w:hAnsi="Times New Roman" w:cs="Times New Roman"/>
          <w:sz w:val="20"/>
          <w:szCs w:val="20"/>
        </w:rPr>
        <w:t>±</w:t>
      </w:r>
      <w:r w:rsidR="005B758B">
        <w:rPr>
          <w:rFonts w:ascii="Times New Roman" w:eastAsia="MS PGothic" w:hAnsi="Times New Roman" w:cs="Times New Roman"/>
          <w:sz w:val="20"/>
          <w:szCs w:val="20"/>
        </w:rPr>
        <w:t>14.6), compared to those who required</w:t>
      </w:r>
      <w:r w:rsidRPr="00407D74">
        <w:rPr>
          <w:rFonts w:ascii="Times New Roman" w:eastAsia="MS PGothic" w:hAnsi="Times New Roman" w:cs="Times New Roman"/>
          <w:sz w:val="20"/>
          <w:szCs w:val="20"/>
        </w:rPr>
        <w:t xml:space="preserve"> non-</w:t>
      </w:r>
      <w:r w:rsidR="005B758B">
        <w:rPr>
          <w:rFonts w:ascii="Times New Roman" w:eastAsia="MS PGothic" w:hAnsi="Times New Roman" w:cs="Times New Roman"/>
          <w:sz w:val="20"/>
          <w:szCs w:val="20"/>
        </w:rPr>
        <w:t xml:space="preserve"> pharmacological </w:t>
      </w:r>
      <w:r w:rsidRPr="00407D74">
        <w:rPr>
          <w:rFonts w:ascii="Times New Roman" w:eastAsia="MS PGothic" w:hAnsi="Times New Roman" w:cs="Times New Roman"/>
          <w:sz w:val="20"/>
          <w:szCs w:val="20"/>
        </w:rPr>
        <w:t>treatment (14.4 ±25.1) (p=0.001).</w:t>
      </w:r>
    </w:p>
    <w:p w:rsidR="000E2229" w:rsidRPr="00407D74" w:rsidRDefault="000E2229" w:rsidP="000E2229">
      <w:pPr>
        <w:pStyle w:val="Default"/>
        <w:rPr>
          <w:rFonts w:ascii="Times New Roman" w:eastAsia="MS PGothic" w:hAnsi="Times New Roman" w:cs="Times New Roman"/>
          <w:sz w:val="20"/>
          <w:szCs w:val="20"/>
        </w:rPr>
      </w:pPr>
      <w:r w:rsidRPr="00407D74">
        <w:rPr>
          <w:rFonts w:ascii="Times New Roman" w:eastAsia="MS PGothic" w:hAnsi="Times New Roman" w:cs="Times New Roman"/>
          <w:sz w:val="20"/>
          <w:szCs w:val="20"/>
        </w:rPr>
        <w:t xml:space="preserve">There was no significant difference among the two groups in regards to receiving prenatal care; however 70.4% of the mothers with infants requiring pharmacological treatment initiated prenatal care in their first trimester. These mothers also had higher adverse social circumstances; 41.4% had previous children in DCFS custody and 33.8% of them were victims of assault. There was a higher incidence of maternal GC or chlamydia infections as well. Rate of smoking in mothers of NAS infants requiring medications was also significantly higher (p=0.002). </w:t>
      </w:r>
    </w:p>
    <w:p w:rsidR="000E2229" w:rsidRPr="00407D74" w:rsidRDefault="000E2229" w:rsidP="000E2229">
      <w:pPr>
        <w:pStyle w:val="Default"/>
        <w:rPr>
          <w:rFonts w:ascii="Times New Roman" w:eastAsia="MS PGothic" w:hAnsi="Times New Roman" w:cs="Times New Roman"/>
          <w:sz w:val="20"/>
          <w:szCs w:val="20"/>
        </w:rPr>
      </w:pPr>
      <w:r w:rsidRPr="00407D74">
        <w:rPr>
          <w:rFonts w:ascii="Times New Roman" w:eastAsia="MS PGothic" w:hAnsi="Times New Roman" w:cs="Times New Roman"/>
          <w:sz w:val="20"/>
          <w:szCs w:val="20"/>
        </w:rPr>
        <w:t xml:space="preserve">The average total cumulative dose of morphine (mg) was significantly different among infants with mothers on a methadone maintenance program (56.9 ±53.4), in comparison to infants with mothers on a </w:t>
      </w:r>
      <w:proofErr w:type="spellStart"/>
      <w:r w:rsidRPr="00407D74">
        <w:rPr>
          <w:rFonts w:ascii="Times New Roman" w:eastAsia="MS PGothic" w:hAnsi="Times New Roman" w:cs="Times New Roman"/>
          <w:sz w:val="20"/>
          <w:szCs w:val="20"/>
        </w:rPr>
        <w:t>subutex</w:t>
      </w:r>
      <w:proofErr w:type="spellEnd"/>
      <w:r w:rsidRPr="00407D74">
        <w:rPr>
          <w:rFonts w:ascii="Times New Roman" w:eastAsia="MS PGothic" w:hAnsi="Times New Roman" w:cs="Times New Roman"/>
          <w:sz w:val="20"/>
          <w:szCs w:val="20"/>
        </w:rPr>
        <w:t xml:space="preserve"> maintenance program (24.4 ±26.9) and those not on an opiate dependency program (25.6 ±17.2) (p=0.04). There was no significant difference in duration of NAS treatment among the three maintenance program subgroups. Mothers on a maintenance program showed more compliance with first PCP visit (78.9%). </w:t>
      </w:r>
    </w:p>
    <w:p w:rsidR="000E2229" w:rsidRPr="00407D74" w:rsidRDefault="000E2229" w:rsidP="000E2229">
      <w:pPr>
        <w:pStyle w:val="Default"/>
        <w:rPr>
          <w:rFonts w:ascii="Times New Roman" w:eastAsia="MS PGothic" w:hAnsi="Times New Roman" w:cs="Times New Roman"/>
          <w:sz w:val="34"/>
          <w:szCs w:val="34"/>
        </w:rPr>
      </w:pPr>
      <w:r w:rsidRPr="00407D74">
        <w:rPr>
          <w:rFonts w:ascii="Times New Roman" w:eastAsia="MS PGothic" w:hAnsi="Times New Roman" w:cs="Times New Roman"/>
          <w:b/>
          <w:bCs/>
        </w:rPr>
        <w:t>Conclusion:</w:t>
      </w:r>
      <w:r w:rsidRPr="00407D74">
        <w:rPr>
          <w:rFonts w:ascii="Times New Roman" w:eastAsia="MS PGothic" w:hAnsi="Times New Roman" w:cs="Times New Roman"/>
          <w:b/>
          <w:bCs/>
          <w:sz w:val="34"/>
          <w:szCs w:val="34"/>
        </w:rPr>
        <w:t xml:space="preserve"> </w:t>
      </w:r>
      <w:r w:rsidRPr="00407D74">
        <w:rPr>
          <w:rFonts w:ascii="Times New Roman" w:eastAsia="MS PGothic" w:hAnsi="Times New Roman" w:cs="Times New Roman"/>
          <w:sz w:val="20"/>
          <w:szCs w:val="20"/>
        </w:rPr>
        <w:t>Current practice of observing at risk for developing NAS infants for 7 days is appropriate</w:t>
      </w:r>
      <w:r w:rsidRPr="00407D74">
        <w:rPr>
          <w:rFonts w:ascii="Times New Roman" w:eastAsia="MS PGothic" w:hAnsi="Times New Roman" w:cs="Times New Roman"/>
          <w:sz w:val="34"/>
          <w:szCs w:val="34"/>
        </w:rPr>
        <w:t xml:space="preserve">. </w:t>
      </w:r>
    </w:p>
    <w:p w:rsidR="000E2229" w:rsidRPr="00407D74" w:rsidRDefault="000E2229" w:rsidP="000E2229">
      <w:pPr>
        <w:pStyle w:val="Default"/>
        <w:rPr>
          <w:rFonts w:ascii="Times New Roman" w:hAnsi="Times New Roman" w:cs="Times New Roman"/>
        </w:rPr>
      </w:pPr>
      <w:r w:rsidRPr="00407D74">
        <w:rPr>
          <w:rFonts w:ascii="Times New Roman" w:hAnsi="Times New Roman" w:cs="Times New Roman"/>
          <w:b/>
          <w:bCs/>
        </w:rPr>
        <w:t>Introduction</w:t>
      </w:r>
    </w:p>
    <w:p w:rsidR="000E2229" w:rsidRPr="00407D74" w:rsidRDefault="000E2229" w:rsidP="000E2229">
      <w:pPr>
        <w:pStyle w:val="Default"/>
        <w:rPr>
          <w:rFonts w:ascii="Times New Roman" w:eastAsia="MS PGothic" w:hAnsi="Times New Roman" w:cs="Times New Roman"/>
          <w:sz w:val="20"/>
          <w:szCs w:val="20"/>
        </w:rPr>
      </w:pPr>
      <w:r w:rsidRPr="00407D74">
        <w:rPr>
          <w:rFonts w:ascii="Times New Roman" w:eastAsia="MS PGothic" w:hAnsi="Times New Roman" w:cs="Times New Roman"/>
          <w:sz w:val="20"/>
          <w:szCs w:val="20"/>
        </w:rPr>
        <w:t xml:space="preserve">Illicit drug use in pregnancy and its associated adverse effects in infants are continually growing in most developed countries. Although many opiate dependent mothers are transitioned to an opiate maintenance program, typically methadone or </w:t>
      </w:r>
      <w:proofErr w:type="spellStart"/>
      <w:r w:rsidRPr="00407D74">
        <w:rPr>
          <w:rFonts w:ascii="Times New Roman" w:eastAsia="MS PGothic" w:hAnsi="Times New Roman" w:cs="Times New Roman"/>
          <w:sz w:val="20"/>
          <w:szCs w:val="20"/>
        </w:rPr>
        <w:t>subutex</w:t>
      </w:r>
      <w:proofErr w:type="spellEnd"/>
      <w:r w:rsidRPr="00407D74">
        <w:rPr>
          <w:rFonts w:ascii="Times New Roman" w:eastAsia="MS PGothic" w:hAnsi="Times New Roman" w:cs="Times New Roman"/>
          <w:sz w:val="20"/>
          <w:szCs w:val="20"/>
        </w:rPr>
        <w:t>, it is very likely that the infants experience withdrawal symptoms. Neonatal abstinence syndrome (NAS) is a result of the sudden discontinuation of fetal exposure to substances (such as opiates) that were used or abused by the mother throughout pregnancy. In a recent national study, the incidence of NAS has risen from 1.2 to 3.4 per 1000 live births.</w:t>
      </w:r>
      <w:r w:rsidR="005B758B">
        <w:rPr>
          <w:rFonts w:ascii="Times New Roman" w:eastAsia="MS PGothic" w:hAnsi="Times New Roman" w:cs="Times New Roman"/>
          <w:sz w:val="20"/>
          <w:szCs w:val="20"/>
        </w:rPr>
        <w:t xml:space="preserve"> </w:t>
      </w:r>
      <w:r w:rsidRPr="00407D74">
        <w:rPr>
          <w:rFonts w:ascii="Times New Roman" w:eastAsia="MS PGothic" w:hAnsi="Times New Roman" w:cs="Times New Roman"/>
          <w:sz w:val="20"/>
          <w:szCs w:val="20"/>
        </w:rPr>
        <w:t xml:space="preserve">NAS has become more complex, imposing additional social, economic, and health care costs on society. </w:t>
      </w:r>
    </w:p>
    <w:p w:rsidR="000E2229" w:rsidRPr="00407D74" w:rsidRDefault="000E2229" w:rsidP="000E2229">
      <w:pPr>
        <w:pStyle w:val="Default"/>
        <w:rPr>
          <w:rFonts w:ascii="Times New Roman" w:eastAsia="MS PGothic" w:hAnsi="Times New Roman" w:cs="Times New Roman"/>
          <w:sz w:val="20"/>
          <w:szCs w:val="20"/>
        </w:rPr>
      </w:pPr>
      <w:r w:rsidRPr="00407D74">
        <w:rPr>
          <w:rFonts w:ascii="Times New Roman" w:eastAsia="MS PGothic" w:hAnsi="Times New Roman" w:cs="Times New Roman"/>
          <w:sz w:val="20"/>
          <w:szCs w:val="20"/>
        </w:rPr>
        <w:t>Drug abuse, including opiate (heroin, prescription opiates) abuse, can be associated with fetal growth restriction, feeding difficulties</w:t>
      </w:r>
      <w:r w:rsidRPr="00407D74">
        <w:rPr>
          <w:rFonts w:ascii="Times New Roman" w:eastAsia="MS PGothic" w:hAnsi="Times New Roman" w:cs="Times New Roman"/>
          <w:sz w:val="34"/>
          <w:szCs w:val="34"/>
        </w:rPr>
        <w:t xml:space="preserve">, </w:t>
      </w:r>
      <w:r w:rsidRPr="00407D74">
        <w:rPr>
          <w:rFonts w:ascii="Times New Roman" w:eastAsia="MS PGothic" w:hAnsi="Times New Roman" w:cs="Times New Roman"/>
          <w:sz w:val="20"/>
          <w:szCs w:val="20"/>
        </w:rPr>
        <w:t>irritability and increased risk of seizure from opiate withdrawal. The Finnegan scoring system is generally used to evaluate the severity of NAS, as scoring can be helpful for initiating, monitoring, and weaning treatment in neonates. Finnegan scores that remain less than eight do not warrant a NAS</w:t>
      </w:r>
      <w:r w:rsidR="005B758B">
        <w:rPr>
          <w:rFonts w:ascii="Times New Roman" w:eastAsia="MS PGothic" w:hAnsi="Times New Roman" w:cs="Times New Roman"/>
          <w:sz w:val="20"/>
          <w:szCs w:val="20"/>
        </w:rPr>
        <w:t xml:space="preserve"> </w:t>
      </w:r>
      <w:r w:rsidR="005B758B" w:rsidRPr="00407D74">
        <w:rPr>
          <w:rFonts w:ascii="Times New Roman" w:hAnsi="Times New Roman" w:cs="Times New Roman"/>
          <w:sz w:val="20"/>
          <w:szCs w:val="20"/>
        </w:rPr>
        <w:t>pharmacological treatment</w:t>
      </w:r>
      <w:r w:rsidRPr="00407D74">
        <w:rPr>
          <w:rFonts w:ascii="Times New Roman" w:eastAsia="MS PGothic" w:hAnsi="Times New Roman" w:cs="Times New Roman"/>
          <w:sz w:val="20"/>
          <w:szCs w:val="20"/>
        </w:rPr>
        <w:t xml:space="preserve"> and the infant may be safely discharged. If the scores surpass eight, pharmacological treatment is initiated in order to ameliorate the withdrawal symptoms, establish consistent weight gain and adequate sleep patterns, and allow for successful integration into his or her social environment. </w:t>
      </w:r>
    </w:p>
    <w:p w:rsidR="000E2229" w:rsidRPr="00407D74" w:rsidRDefault="000E2229" w:rsidP="000E2229">
      <w:pPr>
        <w:pStyle w:val="Default"/>
        <w:rPr>
          <w:rFonts w:ascii="Times New Roman" w:eastAsia="MS PGothic" w:hAnsi="Times New Roman" w:cs="Times New Roman"/>
          <w:sz w:val="20"/>
          <w:szCs w:val="20"/>
        </w:rPr>
      </w:pPr>
      <w:r w:rsidRPr="00407D74">
        <w:rPr>
          <w:rFonts w:ascii="Times New Roman" w:eastAsia="MS PGothic" w:hAnsi="Times New Roman" w:cs="Times New Roman"/>
          <w:sz w:val="20"/>
          <w:szCs w:val="20"/>
        </w:rPr>
        <w:t xml:space="preserve">There is much variability regarding the appropriate duration of observation before discharge, as it is dependent on maternal drug history and the infant's NAS scores. At </w:t>
      </w:r>
      <w:proofErr w:type="spellStart"/>
      <w:r w:rsidRPr="00407D74">
        <w:rPr>
          <w:rFonts w:ascii="Times New Roman" w:eastAsia="MS PGothic" w:hAnsi="Times New Roman" w:cs="Times New Roman"/>
          <w:sz w:val="20"/>
          <w:szCs w:val="20"/>
        </w:rPr>
        <w:t>MetroHealth</w:t>
      </w:r>
      <w:proofErr w:type="spellEnd"/>
      <w:r w:rsidRPr="00407D74">
        <w:rPr>
          <w:rFonts w:ascii="Times New Roman" w:eastAsia="MS PGothic" w:hAnsi="Times New Roman" w:cs="Times New Roman"/>
          <w:sz w:val="20"/>
          <w:szCs w:val="20"/>
        </w:rPr>
        <w:t xml:space="preserve">, all such infants at risk of developing NAS are observed for seven days before being discharged. The purpose of this study was to review and determine whether all infants who develop NAS do so by five days and are safe to be discharged six days onward. </w:t>
      </w:r>
    </w:p>
    <w:p w:rsidR="000E2229" w:rsidRPr="00407D74" w:rsidRDefault="000E2229" w:rsidP="000E2229">
      <w:pPr>
        <w:pStyle w:val="Default"/>
        <w:rPr>
          <w:rFonts w:ascii="Times New Roman" w:hAnsi="Times New Roman" w:cs="Times New Roman"/>
        </w:rPr>
      </w:pPr>
      <w:r w:rsidRPr="00407D74">
        <w:rPr>
          <w:rFonts w:ascii="Times New Roman" w:hAnsi="Times New Roman" w:cs="Times New Roman"/>
          <w:b/>
          <w:bCs/>
        </w:rPr>
        <w:lastRenderedPageBreak/>
        <w:t>Methods</w:t>
      </w:r>
    </w:p>
    <w:p w:rsidR="000E2229" w:rsidRPr="00407D74" w:rsidRDefault="000E2229" w:rsidP="000E2229">
      <w:pPr>
        <w:pStyle w:val="Default"/>
        <w:rPr>
          <w:rFonts w:ascii="Times New Roman" w:eastAsia="MS PGothic" w:hAnsi="Times New Roman" w:cs="Times New Roman"/>
          <w:sz w:val="20"/>
          <w:szCs w:val="20"/>
        </w:rPr>
      </w:pPr>
      <w:r w:rsidRPr="00407D74">
        <w:rPr>
          <w:rFonts w:ascii="Times New Roman" w:eastAsia="MS PGothic" w:hAnsi="Times New Roman" w:cs="Times New Roman"/>
          <w:sz w:val="20"/>
          <w:szCs w:val="20"/>
        </w:rPr>
        <w:t xml:space="preserve">This is a retrospective </w:t>
      </w:r>
      <w:r w:rsidR="004973DF">
        <w:rPr>
          <w:rFonts w:ascii="Times New Roman" w:eastAsia="MS PGothic" w:hAnsi="Times New Roman" w:cs="Times New Roman"/>
          <w:sz w:val="20"/>
          <w:szCs w:val="20"/>
        </w:rPr>
        <w:t xml:space="preserve">cohort </w:t>
      </w:r>
      <w:r w:rsidRPr="00407D74">
        <w:rPr>
          <w:rFonts w:ascii="Times New Roman" w:eastAsia="MS PGothic" w:hAnsi="Times New Roman" w:cs="Times New Roman"/>
          <w:sz w:val="20"/>
          <w:szCs w:val="20"/>
        </w:rPr>
        <w:t xml:space="preserve">study of newborn infants born at </w:t>
      </w:r>
      <w:proofErr w:type="spellStart"/>
      <w:r w:rsidRPr="00407D74">
        <w:rPr>
          <w:rFonts w:ascii="Times New Roman" w:eastAsia="MS PGothic" w:hAnsi="Times New Roman" w:cs="Times New Roman"/>
          <w:sz w:val="20"/>
          <w:szCs w:val="20"/>
        </w:rPr>
        <w:t>MetroHealthMedical</w:t>
      </w:r>
      <w:proofErr w:type="spellEnd"/>
      <w:r w:rsidRPr="00407D74">
        <w:rPr>
          <w:rFonts w:ascii="Times New Roman" w:eastAsia="MS PGothic" w:hAnsi="Times New Roman" w:cs="Times New Roman"/>
          <w:sz w:val="20"/>
          <w:szCs w:val="20"/>
        </w:rPr>
        <w:t xml:space="preserve"> Center (Cleveland, OH), between July 2015 and June 2016, who were prenatally exposed to opiates. For the purpose of this study clinical characteristics of mothers and their newborn infants with opiate exposure were abstracted from their medical records and entered in the "Mother and Child Dependency Database." </w:t>
      </w:r>
    </w:p>
    <w:p w:rsidR="000E2229" w:rsidRPr="00407D74" w:rsidRDefault="000E2229" w:rsidP="000E2229">
      <w:pPr>
        <w:pStyle w:val="Default"/>
        <w:rPr>
          <w:rFonts w:ascii="Times New Roman" w:eastAsia="MS PGothic" w:hAnsi="Times New Roman" w:cs="Times New Roman"/>
          <w:sz w:val="20"/>
          <w:szCs w:val="20"/>
        </w:rPr>
      </w:pPr>
      <w:r w:rsidRPr="00407D74">
        <w:rPr>
          <w:rFonts w:ascii="Times New Roman" w:eastAsia="MS PGothic" w:hAnsi="Times New Roman" w:cs="Times New Roman"/>
          <w:sz w:val="20"/>
          <w:szCs w:val="20"/>
        </w:rPr>
        <w:t>An infant was considered to have intrauterine exposure to opiates or other illicit drugs if the mother voluntarily admitted to abusing illicit drugs during the current pregnancy, was enrolled in a methadone/</w:t>
      </w:r>
      <w:proofErr w:type="spellStart"/>
      <w:r w:rsidRPr="00407D74">
        <w:rPr>
          <w:rFonts w:ascii="Times New Roman" w:eastAsia="MS PGothic" w:hAnsi="Times New Roman" w:cs="Times New Roman"/>
          <w:sz w:val="20"/>
          <w:szCs w:val="20"/>
        </w:rPr>
        <w:t>subutex</w:t>
      </w:r>
      <w:proofErr w:type="spellEnd"/>
      <w:r w:rsidRPr="00407D74">
        <w:rPr>
          <w:rFonts w:ascii="Times New Roman" w:eastAsia="MS PGothic" w:hAnsi="Times New Roman" w:cs="Times New Roman"/>
          <w:sz w:val="20"/>
          <w:szCs w:val="20"/>
        </w:rPr>
        <w:t xml:space="preserve"> program, if she or the neonate had a positive urine toxicology screen, or if the neonate had noteworthy abstinence syndrome following birth that required treatment. The hour of life in </w:t>
      </w:r>
      <w:proofErr w:type="gramStart"/>
      <w:r w:rsidRPr="00407D74">
        <w:rPr>
          <w:rFonts w:ascii="Times New Roman" w:eastAsia="MS PGothic" w:hAnsi="Times New Roman" w:cs="Times New Roman"/>
          <w:sz w:val="20"/>
          <w:szCs w:val="20"/>
        </w:rPr>
        <w:t xml:space="preserve">which </w:t>
      </w:r>
      <w:r w:rsidR="004973DF">
        <w:rPr>
          <w:rFonts w:ascii="Times New Roman" w:eastAsia="MS PGothic" w:hAnsi="Times New Roman" w:cs="Times New Roman"/>
          <w:sz w:val="20"/>
          <w:szCs w:val="20"/>
        </w:rPr>
        <w:t xml:space="preserve"> severe</w:t>
      </w:r>
      <w:proofErr w:type="gramEnd"/>
      <w:r w:rsidR="004973DF">
        <w:rPr>
          <w:rFonts w:ascii="Times New Roman" w:eastAsia="MS PGothic" w:hAnsi="Times New Roman" w:cs="Times New Roman"/>
          <w:sz w:val="20"/>
          <w:szCs w:val="20"/>
        </w:rPr>
        <w:t xml:space="preserve"> </w:t>
      </w:r>
      <w:r w:rsidRPr="00407D74">
        <w:rPr>
          <w:rFonts w:ascii="Times New Roman" w:eastAsia="MS PGothic" w:hAnsi="Times New Roman" w:cs="Times New Roman"/>
          <w:sz w:val="20"/>
          <w:szCs w:val="20"/>
        </w:rPr>
        <w:t xml:space="preserve">NAS developed was determined by the initiation of pharmacological treatment, specifically morphine. </w:t>
      </w:r>
    </w:p>
    <w:p w:rsidR="000E2229" w:rsidRPr="00407D74" w:rsidRDefault="000E2229" w:rsidP="000E2229">
      <w:pPr>
        <w:pStyle w:val="Default"/>
        <w:rPr>
          <w:rFonts w:ascii="Times New Roman" w:eastAsia="MS PGothic" w:hAnsi="Times New Roman" w:cs="Times New Roman"/>
          <w:sz w:val="20"/>
          <w:szCs w:val="20"/>
        </w:rPr>
      </w:pPr>
      <w:r w:rsidRPr="00407D74">
        <w:rPr>
          <w:rFonts w:ascii="Times New Roman" w:eastAsia="MS PGothic" w:hAnsi="Times New Roman" w:cs="Times New Roman"/>
          <w:sz w:val="20"/>
          <w:szCs w:val="20"/>
        </w:rPr>
        <w:t xml:space="preserve">The charts of 124 infants and their mothers were reviewed. Among the infants and their mothers, two groups were identified: </w:t>
      </w:r>
    </w:p>
    <w:p w:rsidR="000E2229" w:rsidRPr="00407D74" w:rsidRDefault="000E2229" w:rsidP="000E2229">
      <w:pPr>
        <w:pStyle w:val="Default"/>
        <w:rPr>
          <w:rFonts w:ascii="Times New Roman" w:eastAsia="MS PGothic" w:hAnsi="Times New Roman" w:cs="Times New Roman"/>
          <w:sz w:val="20"/>
          <w:szCs w:val="20"/>
        </w:rPr>
      </w:pPr>
      <w:r w:rsidRPr="00407D74">
        <w:rPr>
          <w:rFonts w:ascii="Times New Roman" w:eastAsia="MS PGothic" w:hAnsi="Times New Roman" w:cs="Times New Roman"/>
          <w:sz w:val="20"/>
          <w:szCs w:val="20"/>
        </w:rPr>
        <w:t>-Infants with NAS that received pharmacological treatment and their mothers.</w:t>
      </w:r>
    </w:p>
    <w:p w:rsidR="000E2229" w:rsidRPr="00407D74" w:rsidRDefault="000E2229" w:rsidP="000E2229">
      <w:pPr>
        <w:pStyle w:val="Default"/>
        <w:rPr>
          <w:rFonts w:ascii="Times New Roman" w:eastAsia="MS PGothic" w:hAnsi="Times New Roman" w:cs="Times New Roman"/>
          <w:sz w:val="20"/>
          <w:szCs w:val="20"/>
        </w:rPr>
      </w:pPr>
      <w:r w:rsidRPr="00407D74">
        <w:rPr>
          <w:rFonts w:ascii="Times New Roman" w:eastAsia="MS PGothic" w:hAnsi="Times New Roman" w:cs="Times New Roman"/>
          <w:sz w:val="20"/>
          <w:szCs w:val="20"/>
        </w:rPr>
        <w:t>-</w:t>
      </w:r>
      <w:r w:rsidRPr="004973DF">
        <w:rPr>
          <w:rFonts w:ascii="Times New Roman" w:eastAsia="MS PGothic" w:hAnsi="Times New Roman" w:cs="Times New Roman"/>
          <w:sz w:val="20"/>
          <w:szCs w:val="20"/>
        </w:rPr>
        <w:t xml:space="preserve">Infants </w:t>
      </w:r>
      <w:r w:rsidR="004973DF" w:rsidRPr="004973DF">
        <w:rPr>
          <w:rFonts w:ascii="Times New Roman" w:eastAsia="MS PGothic" w:hAnsi="Times New Roman" w:cs="Times New Roman"/>
          <w:sz w:val="20"/>
          <w:szCs w:val="20"/>
        </w:rPr>
        <w:t>who</w:t>
      </w:r>
      <w:r w:rsidR="004973DF">
        <w:rPr>
          <w:rFonts w:ascii="Times New Roman" w:eastAsia="MS PGothic" w:hAnsi="Times New Roman" w:cs="Times New Roman"/>
          <w:sz w:val="20"/>
          <w:szCs w:val="20"/>
        </w:rPr>
        <w:t xml:space="preserve"> did not require pharmacological treatment</w:t>
      </w:r>
      <w:r w:rsidRPr="004973DF">
        <w:rPr>
          <w:rFonts w:ascii="Times New Roman" w:eastAsia="MS PGothic" w:hAnsi="Times New Roman" w:cs="Times New Roman"/>
          <w:sz w:val="20"/>
          <w:szCs w:val="20"/>
        </w:rPr>
        <w:t xml:space="preserve"> and their mothers</w:t>
      </w:r>
      <w:r w:rsidRPr="00407D74">
        <w:rPr>
          <w:rFonts w:ascii="Times New Roman" w:eastAsia="MS PGothic" w:hAnsi="Times New Roman" w:cs="Times New Roman"/>
          <w:sz w:val="20"/>
          <w:szCs w:val="20"/>
        </w:rPr>
        <w:t xml:space="preserve">. </w:t>
      </w:r>
    </w:p>
    <w:p w:rsidR="000E2229" w:rsidRPr="00407D74" w:rsidRDefault="000E2229" w:rsidP="000E2229">
      <w:pPr>
        <w:pStyle w:val="Default"/>
        <w:rPr>
          <w:rFonts w:ascii="Times New Roman" w:eastAsia="MS PGothic" w:hAnsi="Times New Roman" w:cs="Times New Roman"/>
          <w:sz w:val="20"/>
          <w:szCs w:val="20"/>
        </w:rPr>
      </w:pPr>
      <w:r w:rsidRPr="00407D74">
        <w:rPr>
          <w:rFonts w:ascii="Times New Roman" w:eastAsia="MS PGothic" w:hAnsi="Times New Roman" w:cs="Times New Roman"/>
          <w:sz w:val="20"/>
          <w:szCs w:val="20"/>
        </w:rPr>
        <w:t xml:space="preserve">The infants with NAS that received pharmacological treatment were then subdivided into three groups by mother maintenance program: </w:t>
      </w:r>
      <w:r w:rsidRPr="004973DF">
        <w:rPr>
          <w:rFonts w:ascii="Times New Roman" w:eastAsia="MS PGothic" w:hAnsi="Times New Roman" w:cs="Times New Roman"/>
          <w:sz w:val="20"/>
          <w:szCs w:val="20"/>
          <w:highlight w:val="yellow"/>
        </w:rPr>
        <w:t xml:space="preserve">no opiate dependency program, methadone, and </w:t>
      </w:r>
      <w:proofErr w:type="spellStart"/>
      <w:r w:rsidRPr="004973DF">
        <w:rPr>
          <w:rFonts w:ascii="Times New Roman" w:eastAsia="MS PGothic" w:hAnsi="Times New Roman" w:cs="Times New Roman"/>
          <w:sz w:val="20"/>
          <w:szCs w:val="20"/>
          <w:highlight w:val="yellow"/>
        </w:rPr>
        <w:t>subutex</w:t>
      </w:r>
      <w:proofErr w:type="spellEnd"/>
      <w:r w:rsidRPr="004973DF">
        <w:rPr>
          <w:rFonts w:ascii="Times New Roman" w:eastAsia="MS PGothic" w:hAnsi="Times New Roman" w:cs="Times New Roman"/>
          <w:sz w:val="20"/>
          <w:szCs w:val="20"/>
          <w:highlight w:val="yellow"/>
        </w:rPr>
        <w:t>.</w:t>
      </w:r>
      <w:r w:rsidRPr="00407D74">
        <w:rPr>
          <w:rFonts w:ascii="Times New Roman" w:eastAsia="MS PGothic" w:hAnsi="Times New Roman" w:cs="Times New Roman"/>
          <w:sz w:val="20"/>
          <w:szCs w:val="20"/>
        </w:rPr>
        <w:t xml:space="preserve"> </w:t>
      </w:r>
    </w:p>
    <w:p w:rsidR="000E2229" w:rsidRPr="00407D74" w:rsidRDefault="000E2229" w:rsidP="000E2229">
      <w:pPr>
        <w:pStyle w:val="Default"/>
        <w:rPr>
          <w:rFonts w:ascii="Times New Roman" w:eastAsia="MS PGothic" w:hAnsi="Times New Roman" w:cs="Times New Roman"/>
          <w:sz w:val="20"/>
          <w:szCs w:val="20"/>
        </w:rPr>
      </w:pPr>
      <w:r w:rsidRPr="00407D74">
        <w:rPr>
          <w:rFonts w:ascii="Times New Roman" w:eastAsia="MS PGothic" w:hAnsi="Times New Roman" w:cs="Times New Roman"/>
          <w:sz w:val="20"/>
          <w:szCs w:val="20"/>
        </w:rPr>
        <w:t>Interval data was reported as mean ±SD, whereas the ordinal and nonparametric data was reported as percentage. The Chi square test was used for categorical variables. ANOVA was used for continuous variables. Statistical significance is defined as p&lt;0.05 (two-tail). Data was analyzed using Social Science Statistics (</w:t>
      </w:r>
      <w:hyperlink r:id="rId5" w:history="1">
        <w:r w:rsidRPr="00407D74">
          <w:rPr>
            <w:rStyle w:val="Hyperlink"/>
            <w:rFonts w:ascii="Times New Roman" w:eastAsia="MS PGothic" w:hAnsi="Times New Roman" w:cs="Times New Roman"/>
            <w:sz w:val="20"/>
            <w:szCs w:val="20"/>
          </w:rPr>
          <w:t>http://www.socscistatistics.com/</w:t>
        </w:r>
      </w:hyperlink>
      <w:r w:rsidRPr="00407D74">
        <w:rPr>
          <w:rFonts w:ascii="Times New Roman" w:eastAsia="MS PGothic" w:hAnsi="Times New Roman" w:cs="Times New Roman"/>
          <w:sz w:val="20"/>
          <w:szCs w:val="20"/>
        </w:rPr>
        <w:t>).</w:t>
      </w:r>
    </w:p>
    <w:p w:rsidR="004973DF" w:rsidRDefault="004973DF" w:rsidP="000E2229">
      <w:pPr>
        <w:pStyle w:val="Default"/>
        <w:rPr>
          <w:rFonts w:ascii="Times New Roman" w:hAnsi="Times New Roman" w:cs="Times New Roman"/>
          <w:b/>
          <w:bCs/>
        </w:rPr>
      </w:pPr>
    </w:p>
    <w:p w:rsidR="000E2229" w:rsidRPr="00407D74" w:rsidRDefault="000E2229" w:rsidP="000E2229">
      <w:pPr>
        <w:pStyle w:val="Default"/>
        <w:rPr>
          <w:rFonts w:ascii="Times New Roman" w:hAnsi="Times New Roman" w:cs="Times New Roman"/>
        </w:rPr>
      </w:pPr>
      <w:r w:rsidRPr="00407D74">
        <w:rPr>
          <w:rFonts w:ascii="Times New Roman" w:hAnsi="Times New Roman" w:cs="Times New Roman"/>
          <w:b/>
          <w:bCs/>
        </w:rPr>
        <w:t>Results</w:t>
      </w:r>
    </w:p>
    <w:p w:rsidR="000E2229" w:rsidRDefault="000E2229" w:rsidP="004973DF">
      <w:pPr>
        <w:pStyle w:val="Default"/>
        <w:rPr>
          <w:rFonts w:ascii="Times New Roman" w:hAnsi="Times New Roman" w:cs="Times New Roman"/>
          <w:sz w:val="20"/>
          <w:szCs w:val="20"/>
        </w:rPr>
      </w:pPr>
      <w:r w:rsidRPr="00407D74">
        <w:rPr>
          <w:rFonts w:ascii="Times New Roman" w:hAnsi="Times New Roman" w:cs="Times New Roman"/>
        </w:rPr>
        <w:t xml:space="preserve"> </w:t>
      </w:r>
      <w:r w:rsidRPr="00407D74">
        <w:rPr>
          <w:rFonts w:ascii="Times New Roman" w:hAnsi="Times New Roman" w:cs="Times New Roman"/>
          <w:b/>
          <w:bCs/>
          <w:sz w:val="20"/>
          <w:szCs w:val="20"/>
        </w:rPr>
        <w:t>Table1</w:t>
      </w:r>
      <w:r w:rsidR="004973DF" w:rsidRPr="00407D74">
        <w:rPr>
          <w:rFonts w:ascii="Times New Roman" w:hAnsi="Times New Roman" w:cs="Times New Roman"/>
          <w:sz w:val="20"/>
          <w:szCs w:val="20"/>
        </w:rPr>
        <w:t>: Comparison</w:t>
      </w:r>
      <w:r w:rsidRPr="00407D74">
        <w:rPr>
          <w:rFonts w:ascii="Times New Roman" w:hAnsi="Times New Roman" w:cs="Times New Roman"/>
          <w:sz w:val="20"/>
          <w:szCs w:val="20"/>
        </w:rPr>
        <w:t xml:space="preserve"> of infants </w:t>
      </w:r>
      <w:r w:rsidR="009B3DD9" w:rsidRPr="00407D74">
        <w:rPr>
          <w:rFonts w:ascii="Times New Roman" w:hAnsi="Times New Roman" w:cs="Times New Roman"/>
          <w:sz w:val="20"/>
          <w:szCs w:val="20"/>
        </w:rPr>
        <w:t xml:space="preserve">with </w:t>
      </w:r>
      <w:r w:rsidR="009B3DD9">
        <w:rPr>
          <w:rFonts w:ascii="Times New Roman" w:hAnsi="Times New Roman" w:cs="Times New Roman"/>
          <w:sz w:val="20"/>
          <w:szCs w:val="20"/>
        </w:rPr>
        <w:t>severe</w:t>
      </w:r>
      <w:r w:rsidR="004973DF">
        <w:rPr>
          <w:rFonts w:ascii="Times New Roman" w:hAnsi="Times New Roman" w:cs="Times New Roman"/>
          <w:sz w:val="20"/>
          <w:szCs w:val="20"/>
        </w:rPr>
        <w:t xml:space="preserve"> </w:t>
      </w:r>
      <w:r w:rsidRPr="00407D74">
        <w:rPr>
          <w:rFonts w:ascii="Times New Roman" w:hAnsi="Times New Roman" w:cs="Times New Roman"/>
          <w:sz w:val="20"/>
          <w:szCs w:val="20"/>
        </w:rPr>
        <w:t xml:space="preserve">NAS requiring medications versus </w:t>
      </w:r>
      <w:r w:rsidR="009B3DD9">
        <w:rPr>
          <w:rFonts w:ascii="Times New Roman" w:hAnsi="Times New Roman" w:cs="Times New Roman"/>
          <w:sz w:val="20"/>
          <w:szCs w:val="20"/>
        </w:rPr>
        <w:t>others</w:t>
      </w:r>
      <w:r w:rsidRPr="00407D74">
        <w:rPr>
          <w:rFonts w:ascii="Times New Roman" w:hAnsi="Times New Roman" w:cs="Times New Roman"/>
          <w:sz w:val="20"/>
          <w:szCs w:val="20"/>
        </w:rPr>
        <w:t>.</w:t>
      </w:r>
    </w:p>
    <w:p w:rsidR="004973DF" w:rsidRPr="00407D74" w:rsidRDefault="004973DF" w:rsidP="000E2229">
      <w:pPr>
        <w:pStyle w:val="Default"/>
        <w:rPr>
          <w:rFonts w:ascii="Times New Roman" w:eastAsia="MS PGothic"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7"/>
        <w:gridCol w:w="6"/>
        <w:gridCol w:w="2341"/>
        <w:gridCol w:w="2347"/>
        <w:gridCol w:w="2350"/>
      </w:tblGrid>
      <w:tr w:rsidR="000E2229" w:rsidRPr="00407D74" w:rsidTr="009B3DD9">
        <w:trPr>
          <w:trHeight w:val="120"/>
        </w:trPr>
        <w:tc>
          <w:tcPr>
            <w:tcW w:w="2347" w:type="dxa"/>
          </w:tcPr>
          <w:p w:rsidR="00796F28" w:rsidRDefault="00F96C71" w:rsidP="00D37EF5">
            <w:pPr>
              <w:pStyle w:val="Default"/>
              <w:jc w:val="center"/>
              <w:rPr>
                <w:rFonts w:ascii="Times New Roman" w:eastAsia="MS PGothic" w:hAnsi="Times New Roman" w:cs="Times New Roman"/>
                <w:sz w:val="20"/>
                <w:szCs w:val="20"/>
              </w:rPr>
            </w:pPr>
            <w:r w:rsidRPr="00407D74">
              <w:rPr>
                <w:rFonts w:ascii="Times New Roman" w:hAnsi="Times New Roman" w:cs="Times New Roman"/>
                <w:b/>
                <w:bCs/>
                <w:sz w:val="20"/>
                <w:szCs w:val="20"/>
              </w:rPr>
              <w:t xml:space="preserve">Infants exposed to </w:t>
            </w:r>
            <w:proofErr w:type="spellStart"/>
            <w:r w:rsidRPr="00407D74">
              <w:rPr>
                <w:rFonts w:ascii="Times New Roman" w:hAnsi="Times New Roman" w:cs="Times New Roman"/>
                <w:b/>
                <w:bCs/>
                <w:sz w:val="20"/>
                <w:szCs w:val="20"/>
              </w:rPr>
              <w:t>inuteroopiates</w:t>
            </w:r>
            <w:proofErr w:type="spellEnd"/>
          </w:p>
          <w:p w:rsidR="00796F28" w:rsidRDefault="00796F28" w:rsidP="00D37EF5">
            <w:pPr>
              <w:pStyle w:val="Default"/>
              <w:ind w:right="1311"/>
              <w:jc w:val="center"/>
              <w:rPr>
                <w:rFonts w:ascii="Times New Roman" w:hAnsi="Times New Roman" w:cs="Times New Roman"/>
                <w:b/>
                <w:bCs/>
                <w:sz w:val="20"/>
                <w:szCs w:val="20"/>
              </w:rPr>
            </w:pPr>
          </w:p>
          <w:p w:rsidR="000E2229" w:rsidRPr="00F96C71" w:rsidRDefault="000E2229" w:rsidP="00D37EF5">
            <w:pPr>
              <w:pStyle w:val="Default"/>
              <w:ind w:right="1311"/>
              <w:jc w:val="center"/>
              <w:rPr>
                <w:rFonts w:ascii="Times New Roman" w:hAnsi="Times New Roman" w:cs="Times New Roman"/>
                <w:b/>
                <w:bCs/>
                <w:sz w:val="20"/>
                <w:szCs w:val="20"/>
              </w:rPr>
            </w:pPr>
          </w:p>
        </w:tc>
        <w:tc>
          <w:tcPr>
            <w:tcW w:w="2347" w:type="dxa"/>
            <w:gridSpan w:val="2"/>
          </w:tcPr>
          <w:p w:rsidR="000E2229" w:rsidRPr="00407D74" w:rsidRDefault="009B3DD9" w:rsidP="00D37EF5">
            <w:pPr>
              <w:pStyle w:val="Default"/>
              <w:jc w:val="center"/>
              <w:rPr>
                <w:rFonts w:ascii="Times New Roman" w:hAnsi="Times New Roman" w:cs="Times New Roman"/>
                <w:sz w:val="20"/>
                <w:szCs w:val="20"/>
              </w:rPr>
            </w:pPr>
            <w:r>
              <w:rPr>
                <w:rFonts w:ascii="Times New Roman" w:hAnsi="Times New Roman" w:cs="Times New Roman"/>
                <w:b/>
                <w:bCs/>
                <w:sz w:val="20"/>
                <w:szCs w:val="20"/>
              </w:rPr>
              <w:t xml:space="preserve">Severe </w:t>
            </w:r>
            <w:r w:rsidR="000E2229" w:rsidRPr="00407D74">
              <w:rPr>
                <w:rFonts w:ascii="Times New Roman" w:hAnsi="Times New Roman" w:cs="Times New Roman"/>
                <w:b/>
                <w:bCs/>
                <w:sz w:val="20"/>
                <w:szCs w:val="20"/>
              </w:rPr>
              <w:t>NAS requiring medications</w:t>
            </w:r>
          </w:p>
        </w:tc>
        <w:tc>
          <w:tcPr>
            <w:tcW w:w="2347" w:type="dxa"/>
          </w:tcPr>
          <w:p w:rsidR="00D37EF5" w:rsidRDefault="00D37EF5" w:rsidP="00D37EF5">
            <w:pPr>
              <w:pStyle w:val="Default"/>
              <w:jc w:val="center"/>
              <w:rPr>
                <w:rFonts w:ascii="Times New Roman" w:hAnsi="Times New Roman" w:cs="Times New Roman"/>
                <w:b/>
                <w:bCs/>
                <w:sz w:val="20"/>
                <w:szCs w:val="20"/>
              </w:rPr>
            </w:pPr>
          </w:p>
          <w:p w:rsidR="000E2229" w:rsidRPr="00407D74" w:rsidRDefault="00D37EF5" w:rsidP="00D37EF5">
            <w:pPr>
              <w:pStyle w:val="Default"/>
              <w:jc w:val="center"/>
              <w:rPr>
                <w:rFonts w:ascii="Times New Roman" w:hAnsi="Times New Roman" w:cs="Times New Roman"/>
                <w:sz w:val="20"/>
                <w:szCs w:val="20"/>
              </w:rPr>
            </w:pPr>
            <w:r w:rsidRPr="00407D74">
              <w:rPr>
                <w:rFonts w:ascii="Times New Roman" w:hAnsi="Times New Roman" w:cs="Times New Roman"/>
                <w:b/>
                <w:bCs/>
                <w:sz w:val="20"/>
                <w:szCs w:val="20"/>
              </w:rPr>
              <w:t xml:space="preserve">Without </w:t>
            </w:r>
            <w:r>
              <w:rPr>
                <w:rFonts w:ascii="Times New Roman" w:hAnsi="Times New Roman" w:cs="Times New Roman"/>
                <w:b/>
                <w:bCs/>
                <w:sz w:val="20"/>
                <w:szCs w:val="20"/>
              </w:rPr>
              <w:t xml:space="preserve"> Severe </w:t>
            </w:r>
            <w:r w:rsidRPr="00407D74">
              <w:rPr>
                <w:rFonts w:ascii="Times New Roman" w:hAnsi="Times New Roman" w:cs="Times New Roman"/>
                <w:b/>
                <w:bCs/>
                <w:sz w:val="20"/>
                <w:szCs w:val="20"/>
              </w:rPr>
              <w:t>NAS</w:t>
            </w:r>
          </w:p>
        </w:tc>
        <w:tc>
          <w:tcPr>
            <w:tcW w:w="2349" w:type="dxa"/>
          </w:tcPr>
          <w:p w:rsidR="000E2229" w:rsidRPr="00407D74" w:rsidRDefault="000E2229" w:rsidP="00D37EF5">
            <w:pPr>
              <w:pStyle w:val="Default"/>
              <w:jc w:val="center"/>
              <w:rPr>
                <w:rFonts w:ascii="Times New Roman" w:hAnsi="Times New Roman" w:cs="Times New Roman"/>
                <w:sz w:val="20"/>
                <w:szCs w:val="20"/>
              </w:rPr>
            </w:pPr>
            <w:r w:rsidRPr="00407D74">
              <w:rPr>
                <w:rFonts w:ascii="Times New Roman" w:hAnsi="Times New Roman" w:cs="Times New Roman"/>
                <w:b/>
                <w:bCs/>
                <w:sz w:val="20"/>
                <w:szCs w:val="20"/>
              </w:rPr>
              <w:t>P value</w:t>
            </w:r>
          </w:p>
        </w:tc>
      </w:tr>
      <w:tr w:rsidR="000E2229" w:rsidRPr="00407D74" w:rsidTr="009B3DD9">
        <w:trPr>
          <w:trHeight w:val="120"/>
        </w:trPr>
        <w:tc>
          <w:tcPr>
            <w:tcW w:w="2353"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N=124</w:t>
            </w:r>
          </w:p>
        </w:tc>
        <w:tc>
          <w:tcPr>
            <w:tcW w:w="2340"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 82 (66%)</w:t>
            </w:r>
          </w:p>
        </w:tc>
        <w:tc>
          <w:tcPr>
            <w:tcW w:w="469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 = 42 (34%)</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 xml:space="preserve">Male gender </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48 (58.5%)</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17 (40.5%)</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0.057</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Gestational age (</w:t>
            </w:r>
            <w:proofErr w:type="spellStart"/>
            <w:r w:rsidRPr="00407D74">
              <w:rPr>
                <w:rFonts w:ascii="Times New Roman" w:hAnsi="Times New Roman" w:cs="Times New Roman"/>
                <w:sz w:val="20"/>
                <w:szCs w:val="20"/>
              </w:rPr>
              <w:t>wk</w:t>
            </w:r>
            <w:proofErr w:type="spellEnd"/>
            <w:r w:rsidRPr="00407D74">
              <w:rPr>
                <w:rFonts w:ascii="Times New Roman" w:hAnsi="Times New Roman" w:cs="Times New Roman"/>
                <w:sz w:val="20"/>
                <w:szCs w:val="20"/>
              </w:rPr>
              <w:t>)</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38.0 (±2.5)</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36.9 (±3.8)</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1.000</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 xml:space="preserve">Vaginal delivery </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51 (62.2%)</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25 (59.5%)</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0.773</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APGAR at 5 minute</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8.7 (±1.0)</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8.9 (±0.4)</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0.237</w:t>
            </w:r>
          </w:p>
        </w:tc>
      </w:tr>
      <w:tr w:rsidR="000E2229" w:rsidRPr="00407D74" w:rsidTr="009B3DD9">
        <w:trPr>
          <w:trHeight w:val="264"/>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Birth weight (grams)</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2869.0 (±601.0)</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2640.9 (±758.1)</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0.073</w:t>
            </w:r>
          </w:p>
        </w:tc>
      </w:tr>
      <w:tr w:rsidR="000E2229" w:rsidRPr="00407D74" w:rsidTr="009B3DD9">
        <w:trPr>
          <w:trHeight w:val="120"/>
        </w:trPr>
        <w:tc>
          <w:tcPr>
            <w:tcW w:w="2353"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Urine toxicology (N= 59)</w:t>
            </w:r>
          </w:p>
        </w:tc>
        <w:tc>
          <w:tcPr>
            <w:tcW w:w="2340"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N=44</w:t>
            </w:r>
          </w:p>
        </w:tc>
        <w:tc>
          <w:tcPr>
            <w:tcW w:w="469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N=15</w:t>
            </w:r>
          </w:p>
        </w:tc>
      </w:tr>
      <w:tr w:rsidR="000E2229" w:rsidRPr="00407D74" w:rsidTr="009B3DD9">
        <w:trPr>
          <w:trHeight w:val="120"/>
        </w:trPr>
        <w:tc>
          <w:tcPr>
            <w:tcW w:w="2347" w:type="dxa"/>
          </w:tcPr>
          <w:p w:rsidR="000E2229" w:rsidRPr="009B3DD9" w:rsidRDefault="000E2229">
            <w:pPr>
              <w:pStyle w:val="Default"/>
              <w:rPr>
                <w:rFonts w:ascii="Times New Roman" w:hAnsi="Times New Roman" w:cs="Times New Roman"/>
                <w:sz w:val="20"/>
                <w:szCs w:val="20"/>
                <w:highlight w:val="yellow"/>
              </w:rPr>
            </w:pPr>
            <w:r w:rsidRPr="009B3DD9">
              <w:rPr>
                <w:rFonts w:ascii="Times New Roman" w:hAnsi="Times New Roman" w:cs="Times New Roman"/>
                <w:b/>
                <w:bCs/>
                <w:sz w:val="20"/>
                <w:szCs w:val="20"/>
                <w:highlight w:val="yellow"/>
              </w:rPr>
              <w:t>Positive</w:t>
            </w:r>
          </w:p>
        </w:tc>
        <w:tc>
          <w:tcPr>
            <w:tcW w:w="2347" w:type="dxa"/>
            <w:gridSpan w:val="2"/>
          </w:tcPr>
          <w:p w:rsidR="000E2229" w:rsidRPr="009B3DD9" w:rsidRDefault="000E2229">
            <w:pPr>
              <w:pStyle w:val="Default"/>
              <w:rPr>
                <w:rFonts w:ascii="Times New Roman" w:hAnsi="Times New Roman" w:cs="Times New Roman"/>
                <w:sz w:val="20"/>
                <w:szCs w:val="20"/>
                <w:highlight w:val="yellow"/>
              </w:rPr>
            </w:pPr>
            <w:r w:rsidRPr="009B3DD9">
              <w:rPr>
                <w:rFonts w:ascii="Times New Roman" w:hAnsi="Times New Roman" w:cs="Times New Roman"/>
                <w:b/>
                <w:bCs/>
                <w:sz w:val="20"/>
                <w:szCs w:val="20"/>
                <w:highlight w:val="yellow"/>
              </w:rPr>
              <w:t>37 (84.1%)</w:t>
            </w:r>
          </w:p>
        </w:tc>
        <w:tc>
          <w:tcPr>
            <w:tcW w:w="2347" w:type="dxa"/>
          </w:tcPr>
          <w:p w:rsidR="000E2229" w:rsidRPr="009B3DD9" w:rsidRDefault="000E2229">
            <w:pPr>
              <w:pStyle w:val="Default"/>
              <w:rPr>
                <w:rFonts w:ascii="Times New Roman" w:hAnsi="Times New Roman" w:cs="Times New Roman"/>
                <w:sz w:val="20"/>
                <w:szCs w:val="20"/>
                <w:highlight w:val="yellow"/>
              </w:rPr>
            </w:pPr>
            <w:r w:rsidRPr="009B3DD9">
              <w:rPr>
                <w:rFonts w:ascii="Times New Roman" w:hAnsi="Times New Roman" w:cs="Times New Roman"/>
                <w:b/>
                <w:bCs/>
                <w:sz w:val="20"/>
                <w:szCs w:val="20"/>
                <w:highlight w:val="yellow"/>
              </w:rPr>
              <w:t>5 (33.3%)</w:t>
            </w:r>
          </w:p>
        </w:tc>
        <w:tc>
          <w:tcPr>
            <w:tcW w:w="2349" w:type="dxa"/>
          </w:tcPr>
          <w:p w:rsidR="000E2229" w:rsidRPr="009B3DD9" w:rsidRDefault="000E2229">
            <w:pPr>
              <w:pStyle w:val="Default"/>
              <w:rPr>
                <w:rFonts w:ascii="Times New Roman" w:hAnsi="Times New Roman" w:cs="Times New Roman"/>
                <w:sz w:val="20"/>
                <w:szCs w:val="20"/>
                <w:highlight w:val="yellow"/>
              </w:rPr>
            </w:pPr>
            <w:r w:rsidRPr="009B3DD9">
              <w:rPr>
                <w:rFonts w:ascii="Times New Roman" w:hAnsi="Times New Roman" w:cs="Times New Roman"/>
                <w:b/>
                <w:bCs/>
                <w:sz w:val="20"/>
                <w:szCs w:val="20"/>
                <w:highlight w:val="yellow"/>
              </w:rPr>
              <w:t>0.00018</w:t>
            </w:r>
          </w:p>
        </w:tc>
      </w:tr>
      <w:tr w:rsidR="000E2229" w:rsidRPr="00407D74" w:rsidTr="009B3DD9">
        <w:trPr>
          <w:trHeight w:val="120"/>
        </w:trPr>
        <w:tc>
          <w:tcPr>
            <w:tcW w:w="2353"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 xml:space="preserve">Type of infant feeding </w:t>
            </w:r>
            <w:r w:rsidRPr="009B3DD9">
              <w:rPr>
                <w:rFonts w:ascii="Times New Roman" w:hAnsi="Times New Roman" w:cs="Times New Roman"/>
                <w:sz w:val="20"/>
                <w:szCs w:val="20"/>
                <w:highlight w:val="yellow"/>
              </w:rPr>
              <w:t>(N=120)</w:t>
            </w:r>
          </w:p>
        </w:tc>
        <w:tc>
          <w:tcPr>
            <w:tcW w:w="2340"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N=79</w:t>
            </w:r>
          </w:p>
        </w:tc>
        <w:tc>
          <w:tcPr>
            <w:tcW w:w="469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N=41</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 xml:space="preserve">Breast milk only </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1 (1.3%)</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3 (7.3%)</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0.080</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Formula only</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51 (64.6%)</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26 (63.4%)</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0.901</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BM-formula</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27 (34.2%)</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12 (26.3%)</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0.586</w:t>
            </w:r>
          </w:p>
        </w:tc>
      </w:tr>
      <w:tr w:rsidR="000E2229" w:rsidRPr="00407D74" w:rsidTr="009B3DD9">
        <w:trPr>
          <w:trHeight w:val="120"/>
        </w:trPr>
        <w:tc>
          <w:tcPr>
            <w:tcW w:w="2353"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Type of formula (N=113)</w:t>
            </w:r>
          </w:p>
        </w:tc>
        <w:tc>
          <w:tcPr>
            <w:tcW w:w="2340"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N=77</w:t>
            </w:r>
          </w:p>
        </w:tc>
        <w:tc>
          <w:tcPr>
            <w:tcW w:w="469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N=35</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Regular (</w:t>
            </w:r>
            <w:proofErr w:type="spellStart"/>
            <w:r w:rsidRPr="00407D74">
              <w:rPr>
                <w:rFonts w:ascii="Times New Roman" w:hAnsi="Times New Roman" w:cs="Times New Roman"/>
                <w:sz w:val="20"/>
                <w:szCs w:val="20"/>
              </w:rPr>
              <w:t>Similac</w:t>
            </w:r>
            <w:proofErr w:type="spellEnd"/>
            <w:r w:rsidRPr="00407D74">
              <w:rPr>
                <w:rFonts w:ascii="Times New Roman" w:hAnsi="Times New Roman" w:cs="Times New Roman"/>
                <w:sz w:val="20"/>
                <w:szCs w:val="20"/>
              </w:rPr>
              <w:t>/</w:t>
            </w:r>
            <w:proofErr w:type="spellStart"/>
            <w:r w:rsidRPr="00407D74">
              <w:rPr>
                <w:rFonts w:ascii="Times New Roman" w:hAnsi="Times New Roman" w:cs="Times New Roman"/>
                <w:sz w:val="20"/>
                <w:szCs w:val="20"/>
              </w:rPr>
              <w:t>Neosure</w:t>
            </w:r>
            <w:proofErr w:type="spellEnd"/>
            <w:r w:rsidRPr="00407D74">
              <w:rPr>
                <w:rFonts w:ascii="Times New Roman" w:hAnsi="Times New Roman" w:cs="Times New Roman"/>
                <w:sz w:val="20"/>
                <w:szCs w:val="20"/>
              </w:rPr>
              <w:t>)</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63 (81.8%)</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30 (85.7%)</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0.524</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Soy/Hydrolysate</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14 (17.9%)</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5 (14.3%)</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0.787</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DOL when reach full feed</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6.2 (±6.9)</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8.6 (±23.3)</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0.426</w:t>
            </w:r>
          </w:p>
        </w:tc>
      </w:tr>
      <w:tr w:rsidR="000E2229" w:rsidRPr="00407D74" w:rsidTr="009B3DD9">
        <w:trPr>
          <w:trHeight w:val="120"/>
        </w:trPr>
        <w:tc>
          <w:tcPr>
            <w:tcW w:w="2353"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 xml:space="preserve">DOL when gain birth weight </w:t>
            </w:r>
            <w:r w:rsidRPr="009B3DD9">
              <w:rPr>
                <w:rFonts w:ascii="Times New Roman" w:hAnsi="Times New Roman" w:cs="Times New Roman"/>
                <w:sz w:val="20"/>
                <w:szCs w:val="20"/>
                <w:highlight w:val="yellow"/>
              </w:rPr>
              <w:t>(N=85)</w:t>
            </w:r>
          </w:p>
        </w:tc>
        <w:tc>
          <w:tcPr>
            <w:tcW w:w="2340"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N=71</w:t>
            </w:r>
          </w:p>
        </w:tc>
        <w:tc>
          <w:tcPr>
            <w:tcW w:w="469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N=14</w:t>
            </w:r>
          </w:p>
        </w:tc>
      </w:tr>
      <w:tr w:rsidR="000E2229" w:rsidRPr="00407D74" w:rsidTr="009B3DD9">
        <w:trPr>
          <w:trHeight w:val="120"/>
        </w:trPr>
        <w:tc>
          <w:tcPr>
            <w:tcW w:w="2353"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11.6 (±5.3)</w:t>
            </w:r>
          </w:p>
        </w:tc>
        <w:tc>
          <w:tcPr>
            <w:tcW w:w="2340"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12.2 (±6.3)</w:t>
            </w:r>
          </w:p>
        </w:tc>
        <w:tc>
          <w:tcPr>
            <w:tcW w:w="469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0.534</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b/>
                <w:bCs/>
                <w:sz w:val="20"/>
                <w:szCs w:val="20"/>
              </w:rPr>
              <w:t xml:space="preserve">NICU admission </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b/>
                <w:bCs/>
                <w:sz w:val="20"/>
                <w:szCs w:val="20"/>
              </w:rPr>
              <w:t>56 (68.3%)</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b/>
                <w:bCs/>
                <w:sz w:val="20"/>
                <w:szCs w:val="20"/>
              </w:rPr>
              <w:t>15 (35.7%)</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b/>
                <w:bCs/>
                <w:sz w:val="20"/>
                <w:szCs w:val="20"/>
              </w:rPr>
              <w:t>0.001</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b/>
                <w:bCs/>
                <w:sz w:val="20"/>
                <w:szCs w:val="20"/>
              </w:rPr>
              <w:t xml:space="preserve">Length of hospital stay </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b/>
                <w:bCs/>
                <w:sz w:val="20"/>
                <w:szCs w:val="20"/>
              </w:rPr>
              <w:t>26.4 (±14.6)</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b/>
                <w:bCs/>
                <w:sz w:val="20"/>
                <w:szCs w:val="20"/>
              </w:rPr>
              <w:t>14.4 (±25.1)</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b/>
                <w:bCs/>
                <w:sz w:val="20"/>
                <w:szCs w:val="20"/>
              </w:rPr>
              <w:t>0.001</w:t>
            </w:r>
          </w:p>
        </w:tc>
      </w:tr>
      <w:tr w:rsidR="000E2229" w:rsidRPr="00407D74" w:rsidTr="009B3DD9">
        <w:trPr>
          <w:trHeight w:val="120"/>
        </w:trPr>
        <w:tc>
          <w:tcPr>
            <w:tcW w:w="2353" w:type="dxa"/>
            <w:gridSpan w:val="2"/>
          </w:tcPr>
          <w:p w:rsidR="000E2229" w:rsidRPr="00407D74" w:rsidRDefault="000E2229">
            <w:pPr>
              <w:pStyle w:val="Default"/>
              <w:rPr>
                <w:rFonts w:ascii="Times New Roman" w:hAnsi="Times New Roman" w:cs="Times New Roman"/>
                <w:sz w:val="20"/>
                <w:szCs w:val="20"/>
              </w:rPr>
            </w:pPr>
            <w:r w:rsidRPr="009B3DD9">
              <w:rPr>
                <w:rFonts w:ascii="Times New Roman" w:hAnsi="Times New Roman" w:cs="Times New Roman"/>
                <w:sz w:val="20"/>
                <w:szCs w:val="20"/>
                <w:highlight w:val="yellow"/>
              </w:rPr>
              <w:t>Discharge to (N=120)</w:t>
            </w:r>
          </w:p>
        </w:tc>
        <w:tc>
          <w:tcPr>
            <w:tcW w:w="2340"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N=79</w:t>
            </w:r>
          </w:p>
        </w:tc>
        <w:tc>
          <w:tcPr>
            <w:tcW w:w="469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N=41</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Parents</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56 (70.9%)</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32 (78.0%)</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0.400</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DCFS/Relative</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19 (24.1%)</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6 (14.6%)</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0.228</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lastRenderedPageBreak/>
              <w:t>Adoption</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4 (5.1%)</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3 (7.3%)</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0.617</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Death</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2 (2.5%)</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2 (4.9%)</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0.605</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Prematurity/Infection</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1.000</w:t>
            </w:r>
          </w:p>
        </w:tc>
      </w:tr>
      <w:tr w:rsidR="000E2229" w:rsidRPr="00407D74" w:rsidTr="009B3DD9">
        <w:trPr>
          <w:trHeight w:val="120"/>
        </w:trPr>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Other</w:t>
            </w:r>
          </w:p>
        </w:tc>
        <w:tc>
          <w:tcPr>
            <w:tcW w:w="2347" w:type="dxa"/>
            <w:gridSpan w:val="2"/>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2 (100%)</w:t>
            </w:r>
          </w:p>
        </w:tc>
        <w:tc>
          <w:tcPr>
            <w:tcW w:w="2347"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2 (100%)</w:t>
            </w:r>
          </w:p>
        </w:tc>
        <w:tc>
          <w:tcPr>
            <w:tcW w:w="2349" w:type="dxa"/>
          </w:tcPr>
          <w:p w:rsidR="000E2229" w:rsidRPr="00407D74" w:rsidRDefault="000E2229">
            <w:pPr>
              <w:pStyle w:val="Default"/>
              <w:rPr>
                <w:rFonts w:ascii="Times New Roman" w:hAnsi="Times New Roman" w:cs="Times New Roman"/>
                <w:sz w:val="20"/>
                <w:szCs w:val="20"/>
              </w:rPr>
            </w:pPr>
            <w:r w:rsidRPr="00407D74">
              <w:rPr>
                <w:rFonts w:ascii="Times New Roman" w:hAnsi="Times New Roman" w:cs="Times New Roman"/>
                <w:sz w:val="20"/>
                <w:szCs w:val="20"/>
              </w:rPr>
              <w:t>0.605</w:t>
            </w:r>
          </w:p>
        </w:tc>
      </w:tr>
    </w:tbl>
    <w:p w:rsidR="00FD5E0A" w:rsidRPr="00407D74" w:rsidRDefault="002E498C">
      <w:pPr>
        <w:rPr>
          <w:rFonts w:ascii="Times New Roman" w:hAnsi="Times New Roman" w:cs="Times New Roman"/>
          <w:sz w:val="20"/>
          <w:szCs w:val="20"/>
        </w:rPr>
      </w:pPr>
    </w:p>
    <w:p w:rsidR="00F35274" w:rsidRPr="00407D74" w:rsidRDefault="00F35274">
      <w:pPr>
        <w:rPr>
          <w:rFonts w:ascii="Times New Roman" w:eastAsia="MS PGothic" w:hAnsi="Times New Roman" w:cs="Times New Roman"/>
          <w:sz w:val="20"/>
          <w:szCs w:val="20"/>
        </w:rPr>
      </w:pPr>
      <w:r w:rsidRPr="00407D74">
        <w:rPr>
          <w:rFonts w:ascii="Times New Roman" w:eastAsia="MS PGothic" w:hAnsi="Times New Roman" w:cs="Times New Roman"/>
          <w:sz w:val="20"/>
          <w:szCs w:val="20"/>
        </w:rPr>
        <w:t xml:space="preserve">Between July 1, 2015 and June 30, 2016, we identified 124 babies exposed to in utero opiates and their mothers. Of these 124 babies, 82 developed </w:t>
      </w:r>
      <w:r w:rsidR="00D37EF5">
        <w:rPr>
          <w:rFonts w:ascii="Times New Roman" w:eastAsia="MS PGothic" w:hAnsi="Times New Roman" w:cs="Times New Roman"/>
          <w:sz w:val="20"/>
          <w:szCs w:val="20"/>
        </w:rPr>
        <w:t xml:space="preserve">severe </w:t>
      </w:r>
      <w:r w:rsidRPr="00407D74">
        <w:rPr>
          <w:rFonts w:ascii="Times New Roman" w:eastAsia="MS PGothic" w:hAnsi="Times New Roman" w:cs="Times New Roman"/>
          <w:sz w:val="20"/>
          <w:szCs w:val="20"/>
        </w:rPr>
        <w:t xml:space="preserve">NAS that required pharmacological treatment. Characteristics of those who requiring </w:t>
      </w:r>
      <w:r w:rsidR="00D37EF5" w:rsidRPr="00407D74">
        <w:rPr>
          <w:rFonts w:ascii="Times New Roman" w:eastAsia="MS PGothic" w:hAnsi="Times New Roman" w:cs="Times New Roman"/>
          <w:sz w:val="20"/>
          <w:szCs w:val="20"/>
        </w:rPr>
        <w:t>pharmacological</w:t>
      </w:r>
      <w:r w:rsidR="00D37EF5">
        <w:rPr>
          <w:rFonts w:ascii="Times New Roman" w:eastAsia="MS PGothic" w:hAnsi="Times New Roman" w:cs="Times New Roman"/>
          <w:sz w:val="20"/>
          <w:szCs w:val="20"/>
        </w:rPr>
        <w:t xml:space="preserve"> </w:t>
      </w:r>
      <w:r w:rsidRPr="00407D74">
        <w:rPr>
          <w:rFonts w:ascii="Times New Roman" w:eastAsia="MS PGothic" w:hAnsi="Times New Roman" w:cs="Times New Roman"/>
          <w:sz w:val="20"/>
          <w:szCs w:val="20"/>
        </w:rPr>
        <w:t>treatment were compared to those who did not. There were a total of four deaths, two among the NAS (respiratory failure; severe RDS) babies two among those that did not develop NAS (SIDS; intrauterine fetal demise).</w:t>
      </w:r>
    </w:p>
    <w:p w:rsidR="00F35274" w:rsidRPr="00407D74" w:rsidRDefault="00F35274">
      <w:pPr>
        <w:rPr>
          <w:rFonts w:ascii="Times New Roman" w:eastAsia="MS PGothic" w:hAnsi="Times New Roman" w:cs="Times New Roman"/>
          <w:sz w:val="34"/>
          <w:szCs w:val="34"/>
        </w:rPr>
      </w:pPr>
      <w:r w:rsidRPr="00407D74">
        <w:rPr>
          <w:rFonts w:ascii="Times New Roman" w:hAnsi="Times New Roman" w:cs="Times New Roman"/>
          <w:b/>
          <w:bCs/>
          <w:color w:val="000000"/>
          <w:sz w:val="20"/>
          <w:szCs w:val="20"/>
        </w:rPr>
        <w:t>Figure1</w:t>
      </w:r>
      <w:r w:rsidR="009B3DD9" w:rsidRPr="00407D74">
        <w:rPr>
          <w:rFonts w:ascii="Times New Roman" w:hAnsi="Times New Roman" w:cs="Times New Roman"/>
          <w:b/>
          <w:bCs/>
          <w:color w:val="000000"/>
          <w:sz w:val="20"/>
          <w:szCs w:val="20"/>
        </w:rPr>
        <w:t>:</w:t>
      </w:r>
      <w:r w:rsidR="009B3DD9" w:rsidRPr="00407D74">
        <w:rPr>
          <w:rFonts w:ascii="Times New Roman" w:hAnsi="Times New Roman" w:cs="Times New Roman"/>
          <w:color w:val="000000"/>
          <w:sz w:val="20"/>
          <w:szCs w:val="20"/>
        </w:rPr>
        <w:t xml:space="preserve"> The</w:t>
      </w:r>
      <w:r w:rsidRPr="00407D74">
        <w:rPr>
          <w:rFonts w:ascii="Times New Roman" w:hAnsi="Times New Roman" w:cs="Times New Roman"/>
          <w:color w:val="000000"/>
          <w:sz w:val="20"/>
          <w:szCs w:val="20"/>
        </w:rPr>
        <w:t xml:space="preserve"> hour of life at which </w:t>
      </w:r>
      <w:r w:rsidR="00D37EF5">
        <w:rPr>
          <w:rFonts w:ascii="Times New Roman" w:hAnsi="Times New Roman" w:cs="Times New Roman"/>
          <w:color w:val="000000"/>
          <w:sz w:val="20"/>
          <w:szCs w:val="20"/>
        </w:rPr>
        <w:t xml:space="preserve">severe </w:t>
      </w:r>
      <w:r w:rsidRPr="00407D74">
        <w:rPr>
          <w:rFonts w:ascii="Times New Roman" w:hAnsi="Times New Roman" w:cs="Times New Roman"/>
          <w:color w:val="000000"/>
          <w:sz w:val="20"/>
          <w:szCs w:val="20"/>
        </w:rPr>
        <w:t>NAS was diagnosed due to intrauterine exposure to opiates and pharmacological treatment with</w:t>
      </w:r>
      <w:r w:rsidRPr="00407D74">
        <w:rPr>
          <w:rFonts w:ascii="Times New Roman" w:hAnsi="Times New Roman" w:cs="Times New Roman"/>
          <w:color w:val="000000"/>
          <w:sz w:val="32"/>
          <w:szCs w:val="32"/>
        </w:rPr>
        <w:t xml:space="preserve"> </w:t>
      </w:r>
      <w:r w:rsidRPr="00D37EF5">
        <w:rPr>
          <w:rFonts w:ascii="Times New Roman" w:hAnsi="Times New Roman" w:cs="Times New Roman"/>
          <w:color w:val="000000"/>
          <w:sz w:val="20"/>
          <w:szCs w:val="20"/>
        </w:rPr>
        <w:t xml:space="preserve">morphine </w:t>
      </w:r>
      <w:r w:rsidR="00D37EF5">
        <w:rPr>
          <w:rFonts w:ascii="Times New Roman" w:hAnsi="Times New Roman" w:cs="Times New Roman"/>
          <w:color w:val="000000"/>
          <w:sz w:val="20"/>
          <w:szCs w:val="20"/>
        </w:rPr>
        <w:t xml:space="preserve">was </w:t>
      </w:r>
      <w:r w:rsidRPr="00D37EF5">
        <w:rPr>
          <w:rFonts w:ascii="Times New Roman" w:hAnsi="Times New Roman" w:cs="Times New Roman"/>
          <w:color w:val="000000"/>
          <w:sz w:val="20"/>
          <w:szCs w:val="20"/>
        </w:rPr>
        <w:t>initiated</w:t>
      </w:r>
      <w:r w:rsidRPr="00407D74">
        <w:rPr>
          <w:rFonts w:ascii="Times New Roman" w:hAnsi="Times New Roman" w:cs="Times New Roman"/>
          <w:color w:val="000000"/>
          <w:sz w:val="32"/>
          <w:szCs w:val="32"/>
        </w:rPr>
        <w:t>.</w:t>
      </w:r>
      <w:r w:rsidRPr="00407D74">
        <w:rPr>
          <w:rFonts w:ascii="Times New Roman" w:hAnsi="Times New Roman" w:cs="Times New Roman"/>
          <w:noProof/>
          <w:color w:val="000000"/>
          <w:sz w:val="32"/>
          <w:szCs w:val="32"/>
        </w:rPr>
        <w:drawing>
          <wp:inline distT="0" distB="0" distL="0" distR="0" wp14:anchorId="3B344594" wp14:editId="5F5E21F8">
            <wp:extent cx="5943600" cy="28605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2860519"/>
                    </a:xfrm>
                    <a:prstGeom prst="rect">
                      <a:avLst/>
                    </a:prstGeom>
                    <a:noFill/>
                    <a:ln>
                      <a:noFill/>
                    </a:ln>
                  </pic:spPr>
                </pic:pic>
              </a:graphicData>
            </a:graphic>
          </wp:inline>
        </w:drawing>
      </w:r>
    </w:p>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4"/>
          <w:szCs w:val="24"/>
        </w:rPr>
      </w:pPr>
    </w:p>
    <w:p w:rsidR="00407D74" w:rsidRPr="00407D74" w:rsidRDefault="00407D74" w:rsidP="00407D74">
      <w:pPr>
        <w:rPr>
          <w:rFonts w:ascii="Times New Roman" w:hAnsi="Times New Roman" w:cs="Times New Roman"/>
          <w:color w:val="000000"/>
          <w:sz w:val="20"/>
          <w:szCs w:val="20"/>
        </w:rPr>
      </w:pPr>
      <w:r w:rsidRPr="00407D74">
        <w:rPr>
          <w:rFonts w:ascii="Times New Roman" w:hAnsi="Times New Roman" w:cs="Times New Roman"/>
          <w:color w:val="000000"/>
          <w:sz w:val="24"/>
          <w:szCs w:val="24"/>
        </w:rPr>
        <w:t xml:space="preserve"> </w:t>
      </w:r>
      <w:r w:rsidRPr="00407D74">
        <w:rPr>
          <w:rFonts w:ascii="Times New Roman" w:hAnsi="Times New Roman" w:cs="Times New Roman"/>
          <w:b/>
          <w:bCs/>
          <w:color w:val="000000"/>
          <w:sz w:val="20"/>
          <w:szCs w:val="20"/>
        </w:rPr>
        <w:t>Table2</w:t>
      </w:r>
      <w:r w:rsidR="00D37EF5" w:rsidRPr="00407D74">
        <w:rPr>
          <w:rFonts w:ascii="Times New Roman" w:hAnsi="Times New Roman" w:cs="Times New Roman"/>
          <w:b/>
          <w:bCs/>
          <w:color w:val="000000"/>
          <w:sz w:val="20"/>
          <w:szCs w:val="20"/>
        </w:rPr>
        <w:t>:</w:t>
      </w:r>
      <w:r w:rsidR="00D37EF5" w:rsidRPr="00407D74">
        <w:rPr>
          <w:rFonts w:ascii="Times New Roman" w:hAnsi="Times New Roman" w:cs="Times New Roman"/>
          <w:color w:val="000000"/>
          <w:sz w:val="20"/>
          <w:szCs w:val="20"/>
        </w:rPr>
        <w:t xml:space="preserve"> Comparison</w:t>
      </w:r>
      <w:r w:rsidRPr="00407D74">
        <w:rPr>
          <w:rFonts w:ascii="Times New Roman" w:hAnsi="Times New Roman" w:cs="Times New Roman"/>
          <w:color w:val="000000"/>
          <w:sz w:val="20"/>
          <w:szCs w:val="20"/>
        </w:rPr>
        <w:t xml:space="preserve"> of maternal characteristics of infants with </w:t>
      </w:r>
      <w:r w:rsidR="00D37EF5">
        <w:rPr>
          <w:rFonts w:ascii="Times New Roman" w:hAnsi="Times New Roman" w:cs="Times New Roman"/>
          <w:color w:val="000000"/>
          <w:sz w:val="20"/>
          <w:szCs w:val="20"/>
        </w:rPr>
        <w:t xml:space="preserve">severe </w:t>
      </w:r>
      <w:r w:rsidRPr="00407D74">
        <w:rPr>
          <w:rFonts w:ascii="Times New Roman" w:hAnsi="Times New Roman" w:cs="Times New Roman"/>
          <w:color w:val="000000"/>
          <w:sz w:val="20"/>
          <w:szCs w:val="20"/>
        </w:rPr>
        <w:t>NAS requiring medications versus without.</w:t>
      </w:r>
    </w:p>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p>
    <w:tbl>
      <w:tblPr>
        <w:tblW w:w="9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3"/>
        <w:gridCol w:w="2520"/>
        <w:gridCol w:w="2482"/>
        <w:gridCol w:w="2483"/>
      </w:tblGrid>
      <w:tr w:rsidR="00407D74" w:rsidRPr="00407D74" w:rsidTr="00D37EF5">
        <w:trPr>
          <w:trHeight w:val="209"/>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 xml:space="preserve"> </w:t>
            </w:r>
            <w:r w:rsidRPr="00407D74">
              <w:rPr>
                <w:rFonts w:ascii="Times New Roman" w:hAnsi="Times New Roman" w:cs="Times New Roman"/>
                <w:b/>
                <w:bCs/>
                <w:color w:val="000000"/>
                <w:sz w:val="20"/>
                <w:szCs w:val="20"/>
              </w:rPr>
              <w:t>Maternal characteristics</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 xml:space="preserve">NAS requiring medications </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 xml:space="preserve">Without </w:t>
            </w:r>
            <w:r w:rsidR="00D37EF5">
              <w:rPr>
                <w:rFonts w:ascii="Times New Roman" w:hAnsi="Times New Roman" w:cs="Times New Roman"/>
                <w:b/>
                <w:bCs/>
                <w:color w:val="000000"/>
                <w:sz w:val="20"/>
                <w:szCs w:val="20"/>
              </w:rPr>
              <w:t xml:space="preserve"> Severe </w:t>
            </w:r>
            <w:r w:rsidRPr="00407D74">
              <w:rPr>
                <w:rFonts w:ascii="Times New Roman" w:hAnsi="Times New Roman" w:cs="Times New Roman"/>
                <w:b/>
                <w:bCs/>
                <w:color w:val="000000"/>
                <w:sz w:val="20"/>
                <w:szCs w:val="20"/>
              </w:rPr>
              <w:t xml:space="preserve">NAS </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P value</w:t>
            </w:r>
          </w:p>
        </w:tc>
      </w:tr>
      <w:tr w:rsidR="00407D74" w:rsidRPr="00407D74" w:rsidTr="00D37EF5">
        <w:trPr>
          <w:trHeight w:val="120"/>
        </w:trPr>
        <w:tc>
          <w:tcPr>
            <w:tcW w:w="4963" w:type="dxa"/>
            <w:gridSpan w:val="2"/>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 xml:space="preserve">N= </w:t>
            </w:r>
            <w:r w:rsidRPr="00407D74">
              <w:rPr>
                <w:rFonts w:ascii="Times New Roman" w:hAnsi="Times New Roman" w:cs="Times New Roman"/>
                <w:color w:val="000000"/>
                <w:sz w:val="20"/>
                <w:szCs w:val="20"/>
                <w:highlight w:val="yellow"/>
              </w:rPr>
              <w:t>82</w:t>
            </w:r>
            <w:r w:rsidRPr="00407D74">
              <w:rPr>
                <w:rFonts w:ascii="Times New Roman" w:hAnsi="Times New Roman" w:cs="Times New Roman"/>
                <w:color w:val="000000"/>
                <w:sz w:val="20"/>
                <w:szCs w:val="20"/>
              </w:rPr>
              <w:t xml:space="preserve"> (66%)</w:t>
            </w:r>
          </w:p>
        </w:tc>
        <w:tc>
          <w:tcPr>
            <w:tcW w:w="4965" w:type="dxa"/>
            <w:gridSpan w:val="2"/>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 xml:space="preserve">N = </w:t>
            </w:r>
            <w:r w:rsidRPr="00407D74">
              <w:rPr>
                <w:rFonts w:ascii="Times New Roman" w:hAnsi="Times New Roman" w:cs="Times New Roman"/>
                <w:color w:val="000000"/>
                <w:sz w:val="20"/>
                <w:szCs w:val="20"/>
                <w:highlight w:val="yellow"/>
              </w:rPr>
              <w:t>42</w:t>
            </w:r>
            <w:r w:rsidRPr="00407D74">
              <w:rPr>
                <w:rFonts w:ascii="Times New Roman" w:hAnsi="Times New Roman" w:cs="Times New Roman"/>
                <w:color w:val="000000"/>
                <w:sz w:val="20"/>
                <w:szCs w:val="20"/>
              </w:rPr>
              <w:t xml:space="preserve"> (34%)</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Age (year)</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29.7 (±7.6)</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27.9 (±4.0)</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0.147</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Race (N=122)</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N=81</w:t>
            </w:r>
          </w:p>
        </w:tc>
        <w:tc>
          <w:tcPr>
            <w:tcW w:w="4965" w:type="dxa"/>
            <w:gridSpan w:val="2"/>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N=41</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White</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73 (90.1%)</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34 (85.4%)</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0.253</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Black/Hispanic</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8 (9.9%)</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6 (14.6%)</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0.549</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Gravida</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3.75 (±2.2)</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3.78 (±2.8)</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0.954</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Received prenatal care</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71 (86.6%)</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36 (85.7%)</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0.894</w:t>
            </w:r>
          </w:p>
        </w:tc>
      </w:tr>
      <w:tr w:rsidR="00407D74" w:rsidRPr="00407D74" w:rsidTr="00D37EF5">
        <w:trPr>
          <w:trHeight w:val="137"/>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Initial visit in 1st trimester (N=66)</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50/71 (70.4%)</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16/36 (44.4%)</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0.009</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Number of visits</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6.7 (±3.9)</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6.4 (±3.1)</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0.757</w:t>
            </w:r>
          </w:p>
        </w:tc>
      </w:tr>
      <w:tr w:rsidR="00407D74" w:rsidRPr="00407D74" w:rsidTr="00D37EF5">
        <w:trPr>
          <w:trHeight w:val="137"/>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 xml:space="preserve">Serology positive for HCV </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35/76 (46.1%)</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15/32 (46.9%)</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0.938</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GC or Chlamydia positive</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5/62 (8.1%)</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w:t>
            </w:r>
            <w:r w:rsidRPr="00407D74">
              <w:rPr>
                <w:rFonts w:ascii="Times New Roman" w:hAnsi="Times New Roman" w:cs="Times New Roman"/>
                <w:color w:val="000000"/>
                <w:sz w:val="20"/>
                <w:szCs w:val="20"/>
                <w:highlight w:val="yellow"/>
              </w:rPr>
              <w:t>32</w:t>
            </w:r>
            <w:r w:rsidRPr="00407D74">
              <w:rPr>
                <w:rFonts w:ascii="Times New Roman" w:hAnsi="Times New Roman" w:cs="Times New Roman"/>
                <w:color w:val="000000"/>
                <w:sz w:val="20"/>
                <w:szCs w:val="20"/>
              </w:rPr>
              <w:t xml:space="preserve"> (0%)</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0.162</w:t>
            </w:r>
          </w:p>
        </w:tc>
      </w:tr>
      <w:tr w:rsidR="00407D74" w:rsidRPr="00407D74" w:rsidTr="00D37EF5">
        <w:trPr>
          <w:trHeight w:val="120"/>
        </w:trPr>
        <w:tc>
          <w:tcPr>
            <w:tcW w:w="9928" w:type="dxa"/>
            <w:gridSpan w:val="4"/>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Social</w:t>
            </w:r>
          </w:p>
        </w:tc>
      </w:tr>
      <w:tr w:rsidR="00407D74" w:rsidRPr="00407D74" w:rsidTr="00D37EF5">
        <w:trPr>
          <w:trHeight w:val="137"/>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 xml:space="preserve">Previous children in </w:t>
            </w:r>
            <w:r w:rsidRPr="00407D74">
              <w:rPr>
                <w:rFonts w:ascii="Times New Roman" w:hAnsi="Times New Roman" w:cs="Times New Roman"/>
                <w:b/>
                <w:bCs/>
                <w:color w:val="000000"/>
                <w:sz w:val="20"/>
                <w:szCs w:val="20"/>
              </w:rPr>
              <w:lastRenderedPageBreak/>
              <w:t>DCFS custody</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lastRenderedPageBreak/>
              <w:t>24/58 (41.4%)</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19/29 (65.5%)</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0.034</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lastRenderedPageBreak/>
              <w:t>Street worker</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0/63 (0%)</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2/35 (5.7%)</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0.055</w:t>
            </w:r>
          </w:p>
        </w:tc>
      </w:tr>
      <w:tr w:rsidR="00407D74" w:rsidRPr="00407D74" w:rsidTr="00D37EF5">
        <w:trPr>
          <w:trHeight w:val="137"/>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Incarceration</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13/69 (18.9%)</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5/34 (14.7%)</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0.603</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highlight w:val="yellow"/>
              </w:rPr>
            </w:pPr>
            <w:r w:rsidRPr="00407D74">
              <w:rPr>
                <w:rFonts w:ascii="Times New Roman" w:hAnsi="Times New Roman" w:cs="Times New Roman"/>
                <w:b/>
                <w:bCs/>
                <w:color w:val="000000"/>
                <w:sz w:val="20"/>
                <w:szCs w:val="20"/>
                <w:highlight w:val="yellow"/>
              </w:rPr>
              <w:t>Assault</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highlight w:val="yellow"/>
              </w:rPr>
            </w:pPr>
            <w:r w:rsidRPr="00407D74">
              <w:rPr>
                <w:rFonts w:ascii="Times New Roman" w:hAnsi="Times New Roman" w:cs="Times New Roman"/>
                <w:b/>
                <w:bCs/>
                <w:color w:val="000000"/>
                <w:sz w:val="20"/>
                <w:szCs w:val="20"/>
                <w:highlight w:val="yellow"/>
              </w:rPr>
              <w:t>22/65 (33.8%)</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highlight w:val="yellow"/>
              </w:rPr>
            </w:pPr>
            <w:r w:rsidRPr="00407D74">
              <w:rPr>
                <w:rFonts w:ascii="Times New Roman" w:hAnsi="Times New Roman" w:cs="Times New Roman"/>
                <w:b/>
                <w:bCs/>
                <w:color w:val="000000"/>
                <w:sz w:val="20"/>
                <w:szCs w:val="20"/>
                <w:highlight w:val="yellow"/>
              </w:rPr>
              <w:t>3/37 (8.1%)</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highlight w:val="yellow"/>
              </w:rPr>
            </w:pPr>
            <w:r w:rsidRPr="00407D74">
              <w:rPr>
                <w:rFonts w:ascii="Times New Roman" w:hAnsi="Times New Roman" w:cs="Times New Roman"/>
                <w:b/>
                <w:bCs/>
                <w:color w:val="000000"/>
                <w:sz w:val="20"/>
                <w:szCs w:val="20"/>
                <w:highlight w:val="yellow"/>
              </w:rPr>
              <w:t>0.004</w:t>
            </w:r>
          </w:p>
        </w:tc>
      </w:tr>
      <w:tr w:rsidR="00407D74" w:rsidRPr="00407D74" w:rsidTr="00D37EF5">
        <w:trPr>
          <w:trHeight w:val="122"/>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Rape</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1/65 (1.5%)</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1/35 (2.9%)</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0.653</w:t>
            </w:r>
          </w:p>
        </w:tc>
      </w:tr>
      <w:tr w:rsidR="00407D74" w:rsidRPr="00407D74" w:rsidTr="00D37EF5">
        <w:trPr>
          <w:trHeight w:val="120"/>
        </w:trPr>
        <w:tc>
          <w:tcPr>
            <w:tcW w:w="9928" w:type="dxa"/>
            <w:gridSpan w:val="4"/>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Maternal report of substance abuse</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Heroin</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73 (90.1%)</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29 (69.0%)</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0.006</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Other Opiates</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61 (74.4%)</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30 (71.4%)</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0.724</w:t>
            </w:r>
          </w:p>
        </w:tc>
      </w:tr>
      <w:tr w:rsidR="00407D74" w:rsidRPr="00407D74" w:rsidTr="00D37EF5">
        <w:trPr>
          <w:trHeight w:val="137"/>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Prescription Opiates Pre-Heroin</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45 (54.9%)</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14 (33.3%)</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0.023</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Cocaine</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40 (48.8%)</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13 (31.0%)</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0.058</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Marijuana</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46 (56.1%)</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14 (33.3%)</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0.016</w:t>
            </w:r>
          </w:p>
        </w:tc>
      </w:tr>
      <w:tr w:rsidR="00407D74" w:rsidRPr="00407D74" w:rsidTr="00D37EF5">
        <w:trPr>
          <w:trHeight w:val="122"/>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Other</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27 (32.9%)</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6 (14.3%)</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0.026</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highlight w:val="yellow"/>
              </w:rPr>
            </w:pPr>
            <w:r w:rsidRPr="00407D74">
              <w:rPr>
                <w:rFonts w:ascii="Times New Roman" w:hAnsi="Times New Roman" w:cs="Times New Roman"/>
                <w:b/>
                <w:bCs/>
                <w:color w:val="000000"/>
                <w:sz w:val="20"/>
                <w:szCs w:val="20"/>
                <w:highlight w:val="yellow"/>
              </w:rPr>
              <w:t>Smoking</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highlight w:val="yellow"/>
              </w:rPr>
            </w:pPr>
            <w:r w:rsidRPr="00407D74">
              <w:rPr>
                <w:rFonts w:ascii="Times New Roman" w:hAnsi="Times New Roman" w:cs="Times New Roman"/>
                <w:b/>
                <w:bCs/>
                <w:color w:val="000000"/>
                <w:sz w:val="20"/>
                <w:szCs w:val="20"/>
                <w:highlight w:val="yellow"/>
              </w:rPr>
              <w:t>77 (93.9%)</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highlight w:val="yellow"/>
              </w:rPr>
            </w:pPr>
            <w:r w:rsidRPr="00407D74">
              <w:rPr>
                <w:rFonts w:ascii="Times New Roman" w:hAnsi="Times New Roman" w:cs="Times New Roman"/>
                <w:b/>
                <w:bCs/>
                <w:color w:val="000000"/>
                <w:sz w:val="20"/>
                <w:szCs w:val="20"/>
                <w:highlight w:val="yellow"/>
              </w:rPr>
              <w:t>31 (73.8%)</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highlight w:val="yellow"/>
              </w:rPr>
            </w:pPr>
            <w:r w:rsidRPr="00407D74">
              <w:rPr>
                <w:rFonts w:ascii="Times New Roman" w:hAnsi="Times New Roman" w:cs="Times New Roman"/>
                <w:b/>
                <w:bCs/>
                <w:color w:val="000000"/>
                <w:sz w:val="20"/>
                <w:szCs w:val="20"/>
                <w:highlight w:val="yellow"/>
              </w:rPr>
              <w:t>0.002</w:t>
            </w:r>
          </w:p>
        </w:tc>
      </w:tr>
      <w:tr w:rsidR="00407D74" w:rsidRPr="00407D74" w:rsidTr="00D37EF5">
        <w:trPr>
          <w:trHeight w:val="122"/>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Alcohol use</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30 (36.6%)</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14 (33.3%)</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0.720</w:t>
            </w:r>
          </w:p>
        </w:tc>
      </w:tr>
      <w:tr w:rsidR="00407D74" w:rsidRPr="00407D74" w:rsidTr="00D37EF5">
        <w:trPr>
          <w:trHeight w:val="137"/>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History of psychiatric disorder</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57/77 (74.0%)</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27/40 (67.5%)</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0.457</w:t>
            </w:r>
          </w:p>
        </w:tc>
      </w:tr>
      <w:tr w:rsidR="00407D74" w:rsidRPr="00407D74" w:rsidTr="00D37EF5">
        <w:trPr>
          <w:trHeight w:val="137"/>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 xml:space="preserve">Abnormal 1st Urine </w:t>
            </w:r>
            <w:proofErr w:type="spellStart"/>
            <w:r w:rsidRPr="00407D74">
              <w:rPr>
                <w:rFonts w:ascii="Times New Roman" w:hAnsi="Times New Roman" w:cs="Times New Roman"/>
                <w:color w:val="000000"/>
                <w:sz w:val="20"/>
                <w:szCs w:val="20"/>
              </w:rPr>
              <w:t>Tox</w:t>
            </w:r>
            <w:proofErr w:type="spellEnd"/>
            <w:r w:rsidRPr="00407D74">
              <w:rPr>
                <w:rFonts w:ascii="Times New Roman" w:hAnsi="Times New Roman" w:cs="Times New Roman"/>
                <w:color w:val="000000"/>
                <w:sz w:val="20"/>
                <w:szCs w:val="20"/>
              </w:rPr>
              <w:t xml:space="preserve"> (N=88)</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41/53 (77.3%)</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26/35 (74.3%)</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0.801</w:t>
            </w:r>
          </w:p>
        </w:tc>
      </w:tr>
      <w:tr w:rsidR="00407D74" w:rsidRPr="00407D74" w:rsidTr="00D37EF5">
        <w:trPr>
          <w:trHeight w:val="137"/>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proofErr w:type="spellStart"/>
            <w:r w:rsidRPr="00407D74">
              <w:rPr>
                <w:rFonts w:ascii="Times New Roman" w:hAnsi="Times New Roman" w:cs="Times New Roman"/>
                <w:color w:val="000000"/>
                <w:sz w:val="20"/>
                <w:szCs w:val="20"/>
              </w:rPr>
              <w:t>Abn</w:t>
            </w:r>
            <w:proofErr w:type="spellEnd"/>
            <w:r w:rsidRPr="00407D74">
              <w:rPr>
                <w:rFonts w:ascii="Times New Roman" w:hAnsi="Times New Roman" w:cs="Times New Roman"/>
                <w:color w:val="000000"/>
                <w:sz w:val="20"/>
                <w:szCs w:val="20"/>
              </w:rPr>
              <w:t xml:space="preserve">. Urine </w:t>
            </w:r>
            <w:proofErr w:type="spellStart"/>
            <w:r w:rsidRPr="00407D74">
              <w:rPr>
                <w:rFonts w:ascii="Times New Roman" w:hAnsi="Times New Roman" w:cs="Times New Roman"/>
                <w:color w:val="000000"/>
                <w:sz w:val="20"/>
                <w:szCs w:val="20"/>
              </w:rPr>
              <w:t>Tox</w:t>
            </w:r>
            <w:proofErr w:type="spellEnd"/>
            <w:r w:rsidRPr="00407D74">
              <w:rPr>
                <w:rFonts w:ascii="Times New Roman" w:hAnsi="Times New Roman" w:cs="Times New Roman"/>
                <w:color w:val="000000"/>
                <w:sz w:val="20"/>
                <w:szCs w:val="20"/>
              </w:rPr>
              <w:t xml:space="preserve"> at delivery (N=113)</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51/73 (69.9%)</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25/40 (62.5%)</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0.530</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highlight w:val="yellow"/>
              </w:rPr>
            </w:pPr>
            <w:r w:rsidRPr="00407D74">
              <w:rPr>
                <w:rFonts w:ascii="Times New Roman" w:hAnsi="Times New Roman" w:cs="Times New Roman"/>
                <w:color w:val="000000"/>
                <w:sz w:val="20"/>
                <w:szCs w:val="20"/>
                <w:highlight w:val="yellow"/>
              </w:rPr>
              <w:t>Maintenance Program (N=84)</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highlight w:val="yellow"/>
              </w:rPr>
            </w:pPr>
            <w:r w:rsidRPr="00407D74">
              <w:rPr>
                <w:rFonts w:ascii="Times New Roman" w:hAnsi="Times New Roman" w:cs="Times New Roman"/>
                <w:color w:val="000000"/>
                <w:sz w:val="20"/>
                <w:szCs w:val="20"/>
                <w:highlight w:val="yellow"/>
              </w:rPr>
              <w:t>N=66</w:t>
            </w:r>
          </w:p>
        </w:tc>
        <w:tc>
          <w:tcPr>
            <w:tcW w:w="4965" w:type="dxa"/>
            <w:gridSpan w:val="2"/>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highlight w:val="yellow"/>
              </w:rPr>
              <w:t>N=18</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Methadone</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36 (53.8%)</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5 (27.8%)</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0.044</w:t>
            </w:r>
          </w:p>
        </w:tc>
      </w:tr>
      <w:tr w:rsidR="00407D74" w:rsidRPr="00407D74" w:rsidTr="00D37EF5">
        <w:trPr>
          <w:trHeight w:val="120"/>
        </w:trPr>
        <w:tc>
          <w:tcPr>
            <w:tcW w:w="244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proofErr w:type="spellStart"/>
            <w:r w:rsidRPr="00407D74">
              <w:rPr>
                <w:rFonts w:ascii="Times New Roman" w:hAnsi="Times New Roman" w:cs="Times New Roman"/>
                <w:b/>
                <w:bCs/>
                <w:color w:val="000000"/>
                <w:sz w:val="20"/>
                <w:szCs w:val="20"/>
              </w:rPr>
              <w:t>Subutex</w:t>
            </w:r>
            <w:proofErr w:type="spellEnd"/>
            <w:r w:rsidRPr="00407D74">
              <w:rPr>
                <w:rFonts w:ascii="Times New Roman" w:hAnsi="Times New Roman" w:cs="Times New Roman"/>
                <w:b/>
                <w:bCs/>
                <w:color w:val="000000"/>
                <w:sz w:val="20"/>
                <w:szCs w:val="20"/>
              </w:rPr>
              <w:t xml:space="preserve"> </w:t>
            </w:r>
          </w:p>
        </w:tc>
        <w:tc>
          <w:tcPr>
            <w:tcW w:w="2520"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30 (46.2%)</w:t>
            </w:r>
          </w:p>
        </w:tc>
        <w:tc>
          <w:tcPr>
            <w:tcW w:w="2482"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13 (72.2%)</w:t>
            </w:r>
          </w:p>
        </w:tc>
        <w:tc>
          <w:tcPr>
            <w:tcW w:w="2483" w:type="dxa"/>
          </w:tcPr>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b/>
                <w:bCs/>
                <w:color w:val="000000"/>
                <w:sz w:val="20"/>
                <w:szCs w:val="20"/>
              </w:rPr>
              <w:t>0.044</w:t>
            </w:r>
          </w:p>
        </w:tc>
      </w:tr>
    </w:tbl>
    <w:p w:rsidR="00407D74" w:rsidRDefault="00407D74" w:rsidP="00407D74">
      <w:pPr>
        <w:rPr>
          <w:rFonts w:ascii="Times New Roman" w:eastAsia="MS PGothic" w:hAnsi="Times New Roman" w:cs="Times New Roman"/>
          <w:sz w:val="20"/>
          <w:szCs w:val="20"/>
        </w:rPr>
      </w:pPr>
    </w:p>
    <w:p w:rsidR="00682E81" w:rsidRPr="00407D74" w:rsidRDefault="00682E81" w:rsidP="00407D74">
      <w:pPr>
        <w:rPr>
          <w:rFonts w:ascii="Times New Roman" w:eastAsia="MS PGothic" w:hAnsi="Times New Roman" w:cs="Times New Roman"/>
          <w:sz w:val="20"/>
          <w:szCs w:val="20"/>
        </w:rPr>
      </w:pPr>
      <w:r w:rsidRPr="00407D74">
        <w:rPr>
          <w:rFonts w:ascii="Times New Roman" w:hAnsi="Times New Roman" w:cs="Times New Roman"/>
          <w:b/>
          <w:bCs/>
          <w:color w:val="000000"/>
          <w:sz w:val="20"/>
          <w:szCs w:val="20"/>
        </w:rPr>
        <w:t>Table3</w:t>
      </w:r>
      <w:proofErr w:type="gramStart"/>
      <w:r w:rsidRPr="00407D74">
        <w:rPr>
          <w:rFonts w:ascii="Times New Roman" w:hAnsi="Times New Roman" w:cs="Times New Roman"/>
          <w:b/>
          <w:bCs/>
          <w:color w:val="000000"/>
          <w:sz w:val="20"/>
          <w:szCs w:val="20"/>
        </w:rPr>
        <w:t>:</w:t>
      </w:r>
      <w:r w:rsidRPr="00407D74">
        <w:rPr>
          <w:rFonts w:ascii="Times New Roman" w:hAnsi="Times New Roman" w:cs="Times New Roman"/>
          <w:color w:val="000000"/>
          <w:sz w:val="20"/>
          <w:szCs w:val="20"/>
        </w:rPr>
        <w:t>Characteristics</w:t>
      </w:r>
      <w:proofErr w:type="gramEnd"/>
      <w:r w:rsidRPr="00407D74">
        <w:rPr>
          <w:rFonts w:ascii="Times New Roman" w:hAnsi="Times New Roman" w:cs="Times New Roman"/>
          <w:color w:val="000000"/>
          <w:sz w:val="20"/>
          <w:szCs w:val="20"/>
        </w:rPr>
        <w:t xml:space="preserve"> of infants who required pharmacological treatment.</w:t>
      </w:r>
    </w:p>
    <w:tbl>
      <w:tblPr>
        <w:tblpPr w:leftFromText="180" w:rightFromText="180" w:vertAnchor="text" w:horzAnchor="margin" w:tblpXSpec="center" w:tblpY="130"/>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1"/>
        <w:gridCol w:w="551"/>
        <w:gridCol w:w="920"/>
        <w:gridCol w:w="735"/>
        <w:gridCol w:w="1102"/>
        <w:gridCol w:w="1104"/>
        <w:gridCol w:w="736"/>
        <w:gridCol w:w="917"/>
        <w:gridCol w:w="553"/>
        <w:gridCol w:w="1881"/>
      </w:tblGrid>
      <w:tr w:rsidR="00F96C71" w:rsidRPr="00F35274" w:rsidTr="00F96C71">
        <w:trPr>
          <w:trHeight w:val="263"/>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Pharmacological Treatment Group</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 xml:space="preserve">Mom not on opiate dependency treatment </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Methadone</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proofErr w:type="spellStart"/>
            <w:r w:rsidRPr="00F35274">
              <w:rPr>
                <w:rFonts w:ascii="Times New Roman" w:hAnsi="Times New Roman" w:cs="Times New Roman"/>
                <w:b/>
                <w:bCs/>
                <w:color w:val="000000"/>
                <w:sz w:val="20"/>
                <w:szCs w:val="20"/>
              </w:rPr>
              <w:t>Subutex</w:t>
            </w:r>
            <w:proofErr w:type="spellEnd"/>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P value</w:t>
            </w:r>
          </w:p>
        </w:tc>
      </w:tr>
      <w:tr w:rsidR="00F96C71" w:rsidRPr="00F35274" w:rsidTr="00F96C71">
        <w:trPr>
          <w:trHeight w:val="120"/>
        </w:trPr>
        <w:tc>
          <w:tcPr>
            <w:tcW w:w="3142"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(N =15 )</w:t>
            </w:r>
          </w:p>
        </w:tc>
        <w:tc>
          <w:tcPr>
            <w:tcW w:w="3677" w:type="dxa"/>
            <w:gridSpan w:val="4"/>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(N =36 )</w:t>
            </w:r>
          </w:p>
        </w:tc>
        <w:tc>
          <w:tcPr>
            <w:tcW w:w="3351"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(N = 30)</w:t>
            </w:r>
          </w:p>
        </w:tc>
      </w:tr>
      <w:tr w:rsidR="00F96C71" w:rsidRPr="00F35274" w:rsidTr="00F96C71">
        <w:trPr>
          <w:trHeight w:val="120"/>
        </w:trPr>
        <w:tc>
          <w:tcPr>
            <w:tcW w:w="1671" w:type="dxa"/>
          </w:tcPr>
          <w:p w:rsidR="00F96C71" w:rsidRPr="00F35274" w:rsidRDefault="00F96C71" w:rsidP="00443E13">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 xml:space="preserve">Hour of life </w:t>
            </w:r>
            <w:r w:rsidR="00443E13">
              <w:rPr>
                <w:rFonts w:ascii="Times New Roman" w:hAnsi="Times New Roman" w:cs="Times New Roman"/>
                <w:color w:val="000000"/>
                <w:sz w:val="20"/>
                <w:szCs w:val="20"/>
              </w:rPr>
              <w:t>Treatment started</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31.4 (±23.0)</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58.4 (±43.2)</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60.7 (±39.2)</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0.060</w:t>
            </w:r>
          </w:p>
        </w:tc>
      </w:tr>
      <w:tr w:rsidR="00F96C71" w:rsidRPr="00F35274" w:rsidTr="00F96C71">
        <w:trPr>
          <w:trHeight w:val="120"/>
        </w:trPr>
        <w:tc>
          <w:tcPr>
            <w:tcW w:w="1671" w:type="dxa"/>
          </w:tcPr>
          <w:p w:rsidR="00F96C71" w:rsidRDefault="00F96C71" w:rsidP="00443E13">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Earliest (hours)</w:t>
            </w:r>
            <w:r w:rsidR="00443E13">
              <w:rPr>
                <w:rFonts w:ascii="Times New Roman" w:hAnsi="Times New Roman" w:cs="Times New Roman"/>
                <w:color w:val="000000"/>
                <w:sz w:val="20"/>
                <w:szCs w:val="20"/>
              </w:rPr>
              <w:t xml:space="preserve"> </w:t>
            </w:r>
          </w:p>
          <w:p w:rsidR="00443E13" w:rsidRPr="00F35274" w:rsidRDefault="00443E13" w:rsidP="00443E13">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Treatment started</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8</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8</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10</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w:t>
            </w:r>
          </w:p>
        </w:tc>
      </w:tr>
      <w:tr w:rsidR="00F96C71" w:rsidRPr="00F35274" w:rsidTr="00F96C71">
        <w:trPr>
          <w:trHeight w:val="120"/>
        </w:trPr>
        <w:tc>
          <w:tcPr>
            <w:tcW w:w="1671" w:type="dxa"/>
          </w:tcPr>
          <w:p w:rsidR="00F96C71" w:rsidRDefault="00F96C71" w:rsidP="00682E8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Latest (hours)</w:t>
            </w:r>
          </w:p>
          <w:p w:rsidR="00682E81" w:rsidRPr="00F35274" w:rsidRDefault="00682E81" w:rsidP="00682E8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Treatment started</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106</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248</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167.5</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w:t>
            </w:r>
          </w:p>
        </w:tc>
      </w:tr>
      <w:tr w:rsidR="00F96C71" w:rsidRPr="00F35274" w:rsidTr="00F96C71">
        <w:trPr>
          <w:trHeight w:val="120"/>
        </w:trPr>
        <w:tc>
          <w:tcPr>
            <w:tcW w:w="1671" w:type="dxa"/>
          </w:tcPr>
          <w:p w:rsidR="00F96C71" w:rsidRPr="00F35274" w:rsidRDefault="00682E81" w:rsidP="00F96C7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Treatment started</w:t>
            </w:r>
            <w:r w:rsidRPr="00F35274">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at ≥ 7 </w:t>
            </w:r>
            <w:r w:rsidR="00F96C71" w:rsidRPr="00F35274">
              <w:rPr>
                <w:rFonts w:ascii="Times New Roman" w:hAnsi="Times New Roman" w:cs="Times New Roman"/>
                <w:color w:val="000000"/>
                <w:sz w:val="20"/>
                <w:szCs w:val="20"/>
              </w:rPr>
              <w:t xml:space="preserve"> days</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 (0%)</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 (2.8%)</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 (3.3%)</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0.784</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Total cumulative morphine (mg)</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25.6 (±17.2)</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56.9 (±53.4)</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24.4 (±26.9)</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0.004</w:t>
            </w:r>
          </w:p>
        </w:tc>
      </w:tr>
      <w:tr w:rsidR="00F96C71" w:rsidRPr="00F35274" w:rsidTr="00F96C71">
        <w:trPr>
          <w:trHeight w:val="120"/>
        </w:trPr>
        <w:tc>
          <w:tcPr>
            <w:tcW w:w="1671" w:type="dxa"/>
          </w:tcPr>
          <w:p w:rsidR="00F96C71" w:rsidRPr="00F35274" w:rsidRDefault="00F96C71" w:rsidP="00682E8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Needed</w:t>
            </w:r>
            <w:r w:rsidR="00682E81">
              <w:rPr>
                <w:rFonts w:ascii="Times New Roman" w:hAnsi="Times New Roman" w:cs="Times New Roman"/>
                <w:color w:val="000000"/>
                <w:sz w:val="20"/>
                <w:szCs w:val="20"/>
              </w:rPr>
              <w:t xml:space="preserve"> ≥</w:t>
            </w:r>
            <w:r w:rsidRPr="00F35274">
              <w:rPr>
                <w:rFonts w:ascii="Times New Roman" w:hAnsi="Times New Roman" w:cs="Times New Roman"/>
                <w:color w:val="000000"/>
                <w:sz w:val="20"/>
                <w:szCs w:val="20"/>
              </w:rPr>
              <w:t xml:space="preserve"> 2 NAS meds</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 (6.7%)</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4 (11.1%)</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3 (10%)</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0.889</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Duration of NAS treatment (days)</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16.7 (±7.6)</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24.9 (±16.1)</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24.3 (±12.9)</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0.060</w:t>
            </w:r>
          </w:p>
        </w:tc>
      </w:tr>
      <w:tr w:rsidR="00F96C71" w:rsidRPr="00F35274" w:rsidTr="00F96C71">
        <w:trPr>
          <w:trHeight w:val="120"/>
        </w:trPr>
        <w:tc>
          <w:tcPr>
            <w:tcW w:w="2222"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Received breast milk</w:t>
            </w:r>
          </w:p>
        </w:tc>
        <w:tc>
          <w:tcPr>
            <w:tcW w:w="2757"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23 (±0)</w:t>
            </w:r>
          </w:p>
        </w:tc>
        <w:tc>
          <w:tcPr>
            <w:tcW w:w="2757"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28 (±17.6)</w:t>
            </w:r>
          </w:p>
        </w:tc>
        <w:tc>
          <w:tcPr>
            <w:tcW w:w="2434"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19.9 (±12.5)</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Did not receive breast milk</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17.3 (±6.8)</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21.5 (±13.3)</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16.6 (±13.1)</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0.432</w:t>
            </w:r>
          </w:p>
        </w:tc>
      </w:tr>
      <w:tr w:rsidR="00F96C71" w:rsidRPr="00F35274" w:rsidTr="00F96C71">
        <w:trPr>
          <w:trHeight w:val="120"/>
        </w:trPr>
        <w:tc>
          <w:tcPr>
            <w:tcW w:w="10170" w:type="dxa"/>
            <w:gridSpan w:val="10"/>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Maternal Drug Abuse</w:t>
            </w:r>
          </w:p>
        </w:tc>
      </w:tr>
      <w:tr w:rsidR="00F96C71" w:rsidRPr="00F35274" w:rsidTr="00F96C71">
        <w:trPr>
          <w:trHeight w:val="120"/>
        </w:trPr>
        <w:tc>
          <w:tcPr>
            <w:tcW w:w="2222"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Only opiates (N=21)</w:t>
            </w:r>
          </w:p>
        </w:tc>
        <w:tc>
          <w:tcPr>
            <w:tcW w:w="2757"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N=6</w:t>
            </w:r>
          </w:p>
        </w:tc>
        <w:tc>
          <w:tcPr>
            <w:tcW w:w="2757"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N=9</w:t>
            </w:r>
          </w:p>
        </w:tc>
        <w:tc>
          <w:tcPr>
            <w:tcW w:w="2434"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N=6</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Smoking</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4 (66.7%)</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8 (88.9%)</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6 (100%)</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0.240</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Alcohol</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3 (50%)</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 (11.1%)</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 (33.3%)</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0.251</w:t>
            </w:r>
          </w:p>
        </w:tc>
      </w:tr>
      <w:tr w:rsidR="00F96C71" w:rsidRPr="00F35274" w:rsidTr="00F96C71">
        <w:trPr>
          <w:trHeight w:val="120"/>
        </w:trPr>
        <w:tc>
          <w:tcPr>
            <w:tcW w:w="2222"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lastRenderedPageBreak/>
              <w:t>Poly-drug (N=60)</w:t>
            </w:r>
          </w:p>
        </w:tc>
        <w:tc>
          <w:tcPr>
            <w:tcW w:w="2757"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N=9</w:t>
            </w:r>
          </w:p>
        </w:tc>
        <w:tc>
          <w:tcPr>
            <w:tcW w:w="2757"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N=27</w:t>
            </w:r>
          </w:p>
        </w:tc>
        <w:tc>
          <w:tcPr>
            <w:tcW w:w="2434"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N=24</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Smoking</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9 (100%)</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26 (96.3%)</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24 (100%)</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0.537</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 xml:space="preserve">Alcohol </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5 (5.6%)</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11 (40.7%)</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9 (37.5%)</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0.639</w:t>
            </w:r>
          </w:p>
        </w:tc>
      </w:tr>
      <w:tr w:rsidR="00F96C71" w:rsidRPr="00F35274" w:rsidTr="00F96C71">
        <w:trPr>
          <w:trHeight w:val="263"/>
        </w:trPr>
        <w:tc>
          <w:tcPr>
            <w:tcW w:w="10170" w:type="dxa"/>
            <w:gridSpan w:val="10"/>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Location of treatment administration</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NICU</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13 (86.7%)</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25 (69.4%)</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17 (56.7%)</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0.122</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Nursery/PICU</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 (13.3%)</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11 (30.6%)</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13 (43.3%)</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0.122</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Number of readmissions</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 (13.3%)</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 (5.6%)</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3 (10%)</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0.630</w:t>
            </w:r>
          </w:p>
        </w:tc>
      </w:tr>
      <w:tr w:rsidR="00F96C71" w:rsidRPr="00F35274" w:rsidTr="00F96C71">
        <w:trPr>
          <w:trHeight w:val="120"/>
        </w:trPr>
        <w:tc>
          <w:tcPr>
            <w:tcW w:w="3142"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N=14</w:t>
            </w:r>
          </w:p>
        </w:tc>
        <w:tc>
          <w:tcPr>
            <w:tcW w:w="3677" w:type="dxa"/>
            <w:gridSpan w:val="4"/>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N=32</w:t>
            </w:r>
          </w:p>
        </w:tc>
        <w:tc>
          <w:tcPr>
            <w:tcW w:w="3351"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N=25</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PCP first visit compliant</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8 (57.1%)</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26 (81.3%)</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19 (76%)</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color w:val="000000"/>
                <w:sz w:val="20"/>
                <w:szCs w:val="20"/>
              </w:rPr>
              <w:t>0.220</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Discharged to parents</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3 (37.5%)</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20 (76.9%)</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18 (94.7%)</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0.007</w:t>
            </w:r>
          </w:p>
        </w:tc>
      </w:tr>
      <w:tr w:rsidR="00F96C71" w:rsidRPr="00F35274" w:rsidTr="00F96C71">
        <w:trPr>
          <w:trHeight w:val="120"/>
        </w:trPr>
        <w:tc>
          <w:tcPr>
            <w:tcW w:w="167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Discharged to other</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5 (62.5%)</w:t>
            </w:r>
          </w:p>
        </w:tc>
        <w:tc>
          <w:tcPr>
            <w:tcW w:w="2206" w:type="dxa"/>
            <w:gridSpan w:val="2"/>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5 (19.2%)</w:t>
            </w:r>
          </w:p>
        </w:tc>
        <w:tc>
          <w:tcPr>
            <w:tcW w:w="2206" w:type="dxa"/>
            <w:gridSpan w:val="3"/>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1 (5.2%)</w:t>
            </w:r>
          </w:p>
        </w:tc>
        <w:tc>
          <w:tcPr>
            <w:tcW w:w="1881" w:type="dxa"/>
          </w:tcPr>
          <w:p w:rsidR="00F96C71" w:rsidRPr="00F35274" w:rsidRDefault="00F96C71" w:rsidP="00F96C71">
            <w:pPr>
              <w:autoSpaceDE w:val="0"/>
              <w:autoSpaceDN w:val="0"/>
              <w:adjustRightInd w:val="0"/>
              <w:spacing w:after="0" w:line="240" w:lineRule="auto"/>
              <w:rPr>
                <w:rFonts w:ascii="Times New Roman" w:hAnsi="Times New Roman" w:cs="Times New Roman"/>
                <w:color w:val="000000"/>
                <w:sz w:val="20"/>
                <w:szCs w:val="20"/>
              </w:rPr>
            </w:pPr>
            <w:r w:rsidRPr="00F35274">
              <w:rPr>
                <w:rFonts w:ascii="Times New Roman" w:hAnsi="Times New Roman" w:cs="Times New Roman"/>
                <w:b/>
                <w:bCs/>
                <w:color w:val="000000"/>
                <w:sz w:val="20"/>
                <w:szCs w:val="20"/>
              </w:rPr>
              <w:t>0.032</w:t>
            </w:r>
          </w:p>
        </w:tc>
      </w:tr>
    </w:tbl>
    <w:p w:rsidR="00F35274" w:rsidRPr="00407D74" w:rsidRDefault="00F35274">
      <w:pPr>
        <w:rPr>
          <w:rFonts w:ascii="Times New Roman" w:hAnsi="Times New Roman" w:cs="Times New Roman"/>
        </w:rPr>
      </w:pPr>
    </w:p>
    <w:p w:rsidR="00407D74" w:rsidRPr="00407D74" w:rsidRDefault="00407D74" w:rsidP="00407D74">
      <w:pPr>
        <w:pStyle w:val="Default"/>
        <w:rPr>
          <w:rFonts w:ascii="Times New Roman" w:hAnsi="Times New Roman" w:cs="Times New Roman"/>
        </w:rPr>
      </w:pPr>
      <w:r w:rsidRPr="00407D74">
        <w:rPr>
          <w:rFonts w:ascii="Times New Roman" w:hAnsi="Times New Roman" w:cs="Times New Roman"/>
          <w:b/>
          <w:bCs/>
        </w:rPr>
        <w:t>Conclusions</w:t>
      </w:r>
    </w:p>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4"/>
          <w:szCs w:val="24"/>
        </w:rPr>
      </w:pPr>
      <w:r w:rsidRPr="00407D74">
        <w:rPr>
          <w:rFonts w:ascii="Times New Roman" w:hAnsi="Times New Roman" w:cs="Times New Roman"/>
          <w:color w:val="000000"/>
          <w:sz w:val="24"/>
          <w:szCs w:val="24"/>
        </w:rPr>
        <w:t xml:space="preserve"> </w:t>
      </w:r>
    </w:p>
    <w:p w:rsidR="00407D74" w:rsidRPr="00407D74" w:rsidRDefault="00407D74" w:rsidP="00407D74">
      <w:pPr>
        <w:autoSpaceDE w:val="0"/>
        <w:autoSpaceDN w:val="0"/>
        <w:adjustRightInd w:val="0"/>
        <w:spacing w:after="56"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Current practice of observing at risk for developing NAS infants for 7 days is appropriate.</w:t>
      </w:r>
    </w:p>
    <w:p w:rsidR="00407D74" w:rsidRPr="00407D74" w:rsidRDefault="00407D74" w:rsidP="00407D74">
      <w:pPr>
        <w:autoSpaceDE w:val="0"/>
        <w:autoSpaceDN w:val="0"/>
        <w:adjustRightInd w:val="0"/>
        <w:spacing w:after="56"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 xml:space="preserve">•Infants that received pharmacological treatment had a longer hospital stay and higher incidence of NICU admission. </w:t>
      </w:r>
    </w:p>
    <w:p w:rsidR="00407D74" w:rsidRPr="00407D74" w:rsidRDefault="00407D74" w:rsidP="00407D74">
      <w:pPr>
        <w:autoSpaceDE w:val="0"/>
        <w:autoSpaceDN w:val="0"/>
        <w:adjustRightInd w:val="0"/>
        <w:spacing w:after="56"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 xml:space="preserve">•Infants with mothers on a methadone maintenance program had significantly higher cumulative dose of morphine. </w:t>
      </w:r>
    </w:p>
    <w:p w:rsidR="00407D74" w:rsidRPr="00796F28" w:rsidRDefault="00407D74" w:rsidP="00407D74">
      <w:pPr>
        <w:autoSpaceDE w:val="0"/>
        <w:autoSpaceDN w:val="0"/>
        <w:adjustRightInd w:val="0"/>
        <w:spacing w:after="0" w:line="240" w:lineRule="auto"/>
        <w:rPr>
          <w:rFonts w:ascii="Times New Roman" w:hAnsi="Times New Roman" w:cs="Times New Roman"/>
          <w:color w:val="000000"/>
          <w:sz w:val="20"/>
          <w:szCs w:val="20"/>
        </w:rPr>
      </w:pPr>
      <w:r w:rsidRPr="00407D74">
        <w:rPr>
          <w:rFonts w:ascii="Times New Roman" w:hAnsi="Times New Roman" w:cs="Times New Roman"/>
          <w:color w:val="000000"/>
          <w:sz w:val="20"/>
          <w:szCs w:val="20"/>
        </w:rPr>
        <w:t xml:space="preserve">•Mothers on an opiate maintenance program were more likely to comply with their infant’s first PCP visit. </w:t>
      </w:r>
    </w:p>
    <w:p w:rsidR="00407D74" w:rsidRPr="00796F28" w:rsidRDefault="00407D74" w:rsidP="00407D74">
      <w:pPr>
        <w:pStyle w:val="Default"/>
        <w:rPr>
          <w:rFonts w:ascii="Times New Roman" w:hAnsi="Times New Roman" w:cs="Times New Roman"/>
          <w:sz w:val="20"/>
          <w:szCs w:val="20"/>
        </w:rPr>
      </w:pPr>
    </w:p>
    <w:p w:rsidR="00407D74" w:rsidRPr="00796F28" w:rsidRDefault="00407D74" w:rsidP="00682E81">
      <w:pPr>
        <w:pStyle w:val="Default"/>
        <w:rPr>
          <w:rFonts w:ascii="Times New Roman" w:hAnsi="Times New Roman" w:cs="Times New Roman"/>
          <w:sz w:val="20"/>
          <w:szCs w:val="20"/>
        </w:rPr>
      </w:pPr>
      <w:r w:rsidRPr="00796F28">
        <w:rPr>
          <w:rFonts w:ascii="Times New Roman" w:hAnsi="Times New Roman" w:cs="Times New Roman"/>
        </w:rPr>
        <w:t xml:space="preserve"> </w:t>
      </w:r>
    </w:p>
    <w:p w:rsidR="00407D74" w:rsidRPr="00407D74" w:rsidRDefault="00407D74" w:rsidP="00407D74">
      <w:pPr>
        <w:autoSpaceDE w:val="0"/>
        <w:autoSpaceDN w:val="0"/>
        <w:adjustRightInd w:val="0"/>
        <w:spacing w:after="0" w:line="240" w:lineRule="auto"/>
        <w:rPr>
          <w:rFonts w:ascii="Times New Roman" w:hAnsi="Times New Roman" w:cs="Times New Roman"/>
          <w:color w:val="000000"/>
          <w:sz w:val="20"/>
          <w:szCs w:val="20"/>
        </w:rPr>
      </w:pPr>
    </w:p>
    <w:sectPr w:rsidR="00407D74" w:rsidRPr="00407D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229"/>
    <w:rsid w:val="000E2229"/>
    <w:rsid w:val="00184228"/>
    <w:rsid w:val="002E498C"/>
    <w:rsid w:val="00407D74"/>
    <w:rsid w:val="00443E13"/>
    <w:rsid w:val="004973DF"/>
    <w:rsid w:val="005B758B"/>
    <w:rsid w:val="00682E81"/>
    <w:rsid w:val="00796F28"/>
    <w:rsid w:val="009B3DD9"/>
    <w:rsid w:val="00D37EF5"/>
    <w:rsid w:val="00E43FB2"/>
    <w:rsid w:val="00F35274"/>
    <w:rsid w:val="00F96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E2229"/>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0E2229"/>
    <w:rPr>
      <w:color w:val="0563C1" w:themeColor="hyperlink"/>
      <w:u w:val="single"/>
    </w:rPr>
  </w:style>
  <w:style w:type="table" w:styleId="TableGrid">
    <w:name w:val="Table Grid"/>
    <w:basedOn w:val="TableNormal"/>
    <w:uiPriority w:val="39"/>
    <w:rsid w:val="00796F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49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9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E2229"/>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0E2229"/>
    <w:rPr>
      <w:color w:val="0563C1" w:themeColor="hyperlink"/>
      <w:u w:val="single"/>
    </w:rPr>
  </w:style>
  <w:style w:type="table" w:styleId="TableGrid">
    <w:name w:val="Table Grid"/>
    <w:basedOn w:val="TableNormal"/>
    <w:uiPriority w:val="39"/>
    <w:rsid w:val="00796F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49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9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hyperlink" Target="http://www.socscistatistic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1733</Words>
  <Characters>9880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MetroHealth System</Company>
  <LinksUpToDate>false</LinksUpToDate>
  <CharactersWithSpaces>11590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mibrahim</dc:creator>
  <cp:lastModifiedBy>Binnie</cp:lastModifiedBy>
  <cp:revision>2</cp:revision>
  <cp:lastPrinted>2016-10-12T19:08:00Z</cp:lastPrinted>
  <dcterms:created xsi:type="dcterms:W3CDTF">2016-10-12T19:09:00Z</dcterms:created>
  <dcterms:modified xsi:type="dcterms:W3CDTF">2016-10-12T19:09:00Z</dcterms:modified>
</cp:coreProperties>
</file>